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40"/>
      </w:pPr>
      <w:r>
        <w:rPr>
          <w:rFonts w:ascii="Calibri" w:cs="Calibri" w:eastAsia="Calibri" w:hAnsi="Calibri"/>
          <w:b/>
          <w:bCs/>
          <w:color w:val="1C2A4E"/>
          <w:sz w:val="20"/>
          <w:szCs w:val="20"/>
        </w:rPr>
        <w:t xml:space="preserve">THE COMMITTEE ROOM</w:t>
      </w:r>
      <w:r>
        <w:rPr>
          <w:rFonts w:ascii="Calibri" w:cs="Calibri" w:eastAsia="Calibri" w:hAnsi="Calibri"/>
          <w:b/>
          <w:bCs/>
          <w:color w:val="8F6E12"/>
          <w:sz w:val="20"/>
          <w:szCs w:val="20"/>
        </w:rPr>
        <w:t xml:space="preserve">   ·   GOVERNANCE TEMPLATE</w:t>
      </w:r>
    </w:p>
    <w:p>
      <w:pPr>
        <w:pBdr>
          <w:bottom w:val="single" w:color="C9A227" w:sz="12"/>
        </w:pBdr>
        <w:spacing w:after="240"/>
      </w:pPr>
    </w:p>
    <w:p>
      <w:pPr>
        <w:spacing w:after="120"/>
      </w:pPr>
      <w:r>
        <w:rPr>
          <w:rFonts w:ascii="Calibri" w:cs="Calibri" w:eastAsia="Calibri" w:hAnsi="Calibri"/>
          <w:b/>
          <w:bCs/>
          <w:color w:val="1C2A4E"/>
          <w:sz w:val="40"/>
          <w:szCs w:val="40"/>
        </w:rPr>
        <w:t xml:space="preserve">Conflicts of interest policy</w:t>
      </w:r>
    </w:p>
    <w:p>
      <w:pPr>
        <w:spacing w:after="60" w:before="60"/>
      </w:pPr>
      <w:r>
        <w:rPr>
          <w:rFonts w:ascii="Calibri" w:cs="Calibri" w:eastAsia="Calibri" w:hAnsi="Calibri"/>
          <w:b w:val="false"/>
          <w:bCs w:val="false"/>
          <w:i w:val="false"/>
          <w:iCs w:val="false"/>
          <w:color w:val="5A6377"/>
          <w:sz w:val="18"/>
          <w:szCs w:val="18"/>
        </w:rPr>
        <w:t xml:space="preserve">For: [charity name] · Registered charity no. [number, if registered] · Version [1] · [date]</w:t>
      </w:r>
    </w:p>
    <w:p>
      <w:pPr>
        <w:pBdr>
          <w:left w:val="single" w:color="C9A227" w:sz="18"/>
        </w:pBdr>
        <w:shd w:fill="F7F0D8" w:val="clear"/>
        <w:spacing w:after="160"/>
        <w:ind w:left="120"/>
      </w:pPr>
      <w:r>
        <w:rPr>
          <w:rFonts w:ascii="Calibri" w:cs="Calibri" w:eastAsia="Calibri" w:hAnsi="Calibri"/>
          <w:b/>
          <w:bCs/>
          <w:i w:val="false"/>
          <w:iCs w:val="false"/>
          <w:color w:val="232B3E"/>
          <w:sz w:val="20"/>
          <w:szCs w:val="20"/>
        </w:rPr>
        <w:t xml:space="preserve">How to use this template:</w:t>
      </w:r>
      <w:r>
        <w:rPr>
          <w:rFonts w:ascii="Calibri" w:cs="Calibri" w:eastAsia="Calibri" w:hAnsi="Calibri"/>
          <w:b w:val="false"/>
          <w:bCs w:val="false"/>
          <w:i w:val="false"/>
          <w:iCs w:val="false"/>
          <w:color w:val="232B3E"/>
          <w:sz w:val="20"/>
          <w:szCs w:val="20"/>
        </w:rPr>
        <w:t xml:space="preserve"> replace everything in [square brackets], delete anything that does not apply to your charity, and adopt it by a minuted board decision. It is a solid starting point, based on Charity Commission guidance, and written for small UK charities. It is not legal advice, and your governing document takes precedence. In Scotland (OSCR) and Northern Ireland (CCNI) the same principles apply under your own regulator.</w:t>
      </w:r>
    </w:p>
    <w:p>
      <w:pPr>
        <w:spacing w:after="100" w:before="280"/>
      </w:pPr>
      <w:r>
        <w:rPr>
          <w:rFonts w:ascii="Calibri" w:cs="Calibri" w:eastAsia="Calibri" w:hAnsi="Calibri"/>
          <w:b/>
          <w:bCs/>
          <w:color w:val="1C2A4E"/>
          <w:sz w:val="26"/>
          <w:szCs w:val="26"/>
        </w:rPr>
        <w:t xml:space="preserve">1. Why we have this policy</w:t>
      </w:r>
    </w:p>
    <w:p>
      <w:pPr>
        <w:spacing w:after="120"/>
      </w:pPr>
      <w:r>
        <w:rPr>
          <w:rFonts w:ascii="Calibri" w:cs="Calibri" w:eastAsia="Calibri" w:hAnsi="Calibri"/>
          <w:b w:val="false"/>
          <w:bCs w:val="false"/>
          <w:i w:val="false"/>
          <w:iCs w:val="false"/>
          <w:color w:val="232B3E"/>
          <w:sz w:val="22"/>
          <w:szCs w:val="22"/>
        </w:rPr>
        <w:t xml:space="preserve">Trustees must act in the best interests of the charity. From time to time a trustee's other interests will overlap with the charity's business. That is normal, and it is not misconduct. What matters is that every conflict is declared openly and managed properly, so that decisions are made for the charity's benefit and are seen to be.</w:t>
      </w:r>
    </w:p>
    <w:p>
      <w:pPr>
        <w:spacing w:after="100" w:before="280"/>
      </w:pPr>
      <w:r>
        <w:rPr>
          <w:rFonts w:ascii="Calibri" w:cs="Calibri" w:eastAsia="Calibri" w:hAnsi="Calibri"/>
          <w:b/>
          <w:bCs/>
          <w:color w:val="1C2A4E"/>
          <w:sz w:val="26"/>
          <w:szCs w:val="26"/>
        </w:rPr>
        <w:t xml:space="preserve">2. Who this policy applies to</w:t>
      </w:r>
    </w:p>
    <w:p>
      <w:pPr>
        <w:spacing w:after="120"/>
      </w:pPr>
      <w:r>
        <w:rPr>
          <w:rFonts w:ascii="Calibri" w:cs="Calibri" w:eastAsia="Calibri" w:hAnsi="Calibri"/>
          <w:b w:val="false"/>
          <w:bCs w:val="false"/>
          <w:i w:val="false"/>
          <w:iCs w:val="false"/>
          <w:color w:val="232B3E"/>
          <w:sz w:val="22"/>
          <w:szCs w:val="22"/>
        </w:rPr>
        <w:t xml:space="preserve">All trustees of [charity name], and anyone attending board or committee meetings who takes part in decisions [add if relevant: senior staff and key volunteers].</w:t>
      </w:r>
    </w:p>
    <w:p>
      <w:pPr>
        <w:spacing w:after="100" w:before="280"/>
      </w:pPr>
      <w:r>
        <w:rPr>
          <w:rFonts w:ascii="Calibri" w:cs="Calibri" w:eastAsia="Calibri" w:hAnsi="Calibri"/>
          <w:b/>
          <w:bCs/>
          <w:color w:val="1C2A4E"/>
          <w:sz w:val="26"/>
          <w:szCs w:val="26"/>
        </w:rPr>
        <w:t xml:space="preserve">3. What counts as a conflict of interest</w:t>
      </w:r>
    </w:p>
    <w:p>
      <w:pPr>
        <w:pStyle w:val="ListParagraph"/>
        <w:numPr>
          <w:ilvl w:val="0"/>
          <w:numId w:val="2"/>
        </w:numPr>
        <w:spacing w:after="80"/>
      </w:pPr>
      <w:r>
        <w:rPr>
          <w:rFonts w:ascii="Calibri" w:cs="Calibri" w:eastAsia="Calibri" w:hAnsi="Calibri"/>
          <w:b/>
          <w:bCs/>
          <w:i w:val="false"/>
          <w:iCs w:val="false"/>
          <w:color w:val="232B3E"/>
          <w:sz w:val="22"/>
          <w:szCs w:val="22"/>
        </w:rPr>
        <w:t xml:space="preserve">A financial interest</w:t>
      </w:r>
      <w:r>
        <w:rPr>
          <w:rFonts w:ascii="Calibri" w:cs="Calibri" w:eastAsia="Calibri" w:hAnsi="Calibri"/>
          <w:b w:val="false"/>
          <w:bCs w:val="false"/>
          <w:i w:val="false"/>
          <w:iCs w:val="false"/>
          <w:color w:val="232B3E"/>
          <w:sz w:val="22"/>
          <w:szCs w:val="22"/>
        </w:rPr>
        <w:t xml:space="preserve"> — the trustee, or a person connected to them, could receive money or anything of value from a decision. Examples: the charity buying services from a trustee's business, employing a trustee's relative, or paying a trustee for work.</w:t>
      </w:r>
    </w:p>
    <w:p>
      <w:pPr>
        <w:pStyle w:val="ListParagraph"/>
        <w:numPr>
          <w:ilvl w:val="0"/>
          <w:numId w:val="2"/>
        </w:numPr>
        <w:spacing w:after="80"/>
      </w:pPr>
      <w:r>
        <w:rPr>
          <w:rFonts w:ascii="Calibri" w:cs="Calibri" w:eastAsia="Calibri" w:hAnsi="Calibri"/>
          <w:b/>
          <w:bCs/>
          <w:i w:val="false"/>
          <w:iCs w:val="false"/>
          <w:color w:val="232B3E"/>
          <w:sz w:val="22"/>
          <w:szCs w:val="22"/>
        </w:rPr>
        <w:t xml:space="preserve">A conflict of loyalty</w:t>
      </w:r>
      <w:r>
        <w:rPr>
          <w:rFonts w:ascii="Calibri" w:cs="Calibri" w:eastAsia="Calibri" w:hAnsi="Calibri"/>
          <w:b w:val="false"/>
          <w:bCs w:val="false"/>
          <w:i w:val="false"/>
          <w:iCs w:val="false"/>
          <w:color w:val="232B3E"/>
          <w:sz w:val="22"/>
          <w:szCs w:val="22"/>
        </w:rPr>
        <w:t xml:space="preserve"> — no money involved, but the trustee owes loyalty elsewhere: to an employer, another charity or trusteeship, a funder, or a family member affected by the decision.</w:t>
      </w:r>
    </w:p>
    <w:p>
      <w:pPr>
        <w:spacing w:after="120"/>
      </w:pPr>
      <w:r>
        <w:rPr>
          <w:rFonts w:ascii="Calibri" w:cs="Calibri" w:eastAsia="Calibri" w:hAnsi="Calibri"/>
          <w:b/>
          <w:bCs/>
          <w:i w:val="false"/>
          <w:iCs w:val="false"/>
          <w:color w:val="232B3E"/>
          <w:sz w:val="22"/>
          <w:szCs w:val="22"/>
        </w:rPr>
        <w:t xml:space="preserve">Connected persons</w:t>
      </w:r>
      <w:r>
        <w:rPr>
          <w:rFonts w:ascii="Calibri" w:cs="Calibri" w:eastAsia="Calibri" w:hAnsi="Calibri"/>
          <w:b w:val="false"/>
          <w:bCs w:val="false"/>
          <w:i w:val="false"/>
          <w:iCs w:val="false"/>
          <w:color w:val="232B3E"/>
          <w:sz w:val="22"/>
          <w:szCs w:val="22"/>
        </w:rPr>
        <w:t xml:space="preserve"> include close family members, business partners, and companies the trustee controls or has a substantial interest in.</w:t>
      </w:r>
    </w:p>
    <w:p>
      <w:pPr>
        <w:spacing w:after="100" w:before="280"/>
      </w:pPr>
      <w:r>
        <w:rPr>
          <w:rFonts w:ascii="Calibri" w:cs="Calibri" w:eastAsia="Calibri" w:hAnsi="Calibri"/>
          <w:b/>
          <w:bCs/>
          <w:color w:val="1C2A4E"/>
          <w:sz w:val="26"/>
          <w:szCs w:val="26"/>
        </w:rPr>
        <w:t xml:space="preserve">4. Declaring interests</w:t>
      </w:r>
    </w:p>
    <w:p>
      <w:pPr>
        <w:pStyle w:val="ListParagraph"/>
        <w:numPr>
          <w:ilvl w:val="0"/>
          <w:numId w:val="2"/>
        </w:numPr>
        <w:spacing w:after="80"/>
      </w:pPr>
      <w:r>
        <w:rPr>
          <w:rFonts w:ascii="Calibri" w:cs="Calibri" w:eastAsia="Calibri" w:hAnsi="Calibri"/>
          <w:b w:val="false"/>
          <w:bCs w:val="false"/>
          <w:i w:val="false"/>
          <w:iCs w:val="false"/>
          <w:color w:val="232B3E"/>
          <w:sz w:val="22"/>
          <w:szCs w:val="22"/>
        </w:rPr>
        <w:t xml:space="preserve">Every trustee completes a declaration of interests (Appendix B) </w:t>
      </w:r>
      <w:r>
        <w:rPr>
          <w:rFonts w:ascii="Calibri" w:cs="Calibri" w:eastAsia="Calibri" w:hAnsi="Calibri"/>
          <w:b/>
          <w:bCs/>
          <w:i w:val="false"/>
          <w:iCs w:val="false"/>
          <w:color w:val="232B3E"/>
          <w:sz w:val="22"/>
          <w:szCs w:val="22"/>
        </w:rPr>
        <w:t xml:space="preserve">on appointment</w:t>
      </w:r>
      <w:r>
        <w:rPr>
          <w:rFonts w:ascii="Calibri" w:cs="Calibri" w:eastAsia="Calibri" w:hAnsi="Calibri"/>
          <w:b w:val="false"/>
          <w:bCs w:val="false"/>
          <w:i w:val="false"/>
          <w:iCs w:val="false"/>
          <w:color w:val="232B3E"/>
          <w:sz w:val="22"/>
          <w:szCs w:val="22"/>
        </w:rPr>
        <w:t xml:space="preserve"> and refreshes it </w:t>
      </w:r>
      <w:r>
        <w:rPr>
          <w:rFonts w:ascii="Calibri" w:cs="Calibri" w:eastAsia="Calibri" w:hAnsi="Calibri"/>
          <w:b/>
          <w:bCs/>
          <w:i w:val="false"/>
          <w:iCs w:val="false"/>
          <w:color w:val="232B3E"/>
          <w:sz w:val="22"/>
          <w:szCs w:val="22"/>
        </w:rPr>
        <w:t xml:space="preserve">once a year</w:t>
      </w:r>
      <w:r>
        <w:rPr>
          <w:rFonts w:ascii="Calibri" w:cs="Calibri" w:eastAsia="Calibri" w:hAnsi="Calibri"/>
          <w:b w:val="false"/>
          <w:bCs w:val="false"/>
          <w:i w:val="false"/>
          <w:iCs w:val="false"/>
          <w:color w:val="232B3E"/>
          <w:sz w:val="22"/>
          <w:szCs w:val="22"/>
        </w:rPr>
        <w:t xml:space="preserve">.</w:t>
      </w:r>
    </w:p>
    <w:p>
      <w:pPr>
        <w:pStyle w:val="ListParagraph"/>
        <w:numPr>
          <w:ilvl w:val="0"/>
          <w:numId w:val="2"/>
        </w:numPr>
        <w:spacing w:after="80"/>
      </w:pPr>
      <w:r>
        <w:rPr>
          <w:rFonts w:ascii="Calibri" w:cs="Calibri" w:eastAsia="Calibri" w:hAnsi="Calibri"/>
          <w:b w:val="false"/>
          <w:bCs w:val="false"/>
          <w:i w:val="false"/>
          <w:iCs w:val="false"/>
          <w:color w:val="232B3E"/>
          <w:sz w:val="22"/>
          <w:szCs w:val="22"/>
        </w:rPr>
        <w:t xml:space="preserve">Declarations of interest are a </w:t>
      </w:r>
      <w:r>
        <w:rPr>
          <w:rFonts w:ascii="Calibri" w:cs="Calibri" w:eastAsia="Calibri" w:hAnsi="Calibri"/>
          <w:b/>
          <w:bCs/>
          <w:i w:val="false"/>
          <w:iCs w:val="false"/>
          <w:color w:val="232B3E"/>
          <w:sz w:val="22"/>
          <w:szCs w:val="22"/>
        </w:rPr>
        <w:t xml:space="preserve">standing item at the start of every meeting</w:t>
      </w:r>
      <w:r>
        <w:rPr>
          <w:rFonts w:ascii="Calibri" w:cs="Calibri" w:eastAsia="Calibri" w:hAnsi="Calibri"/>
          <w:b w:val="false"/>
          <w:bCs w:val="false"/>
          <w:i w:val="false"/>
          <w:iCs w:val="false"/>
          <w:color w:val="232B3E"/>
          <w:sz w:val="22"/>
          <w:szCs w:val="22"/>
        </w:rPr>
        <w:t xml:space="preserve">, so declaring is routine rather than awkward.</w:t>
      </w:r>
    </w:p>
    <w:p>
      <w:pPr>
        <w:pStyle w:val="ListParagraph"/>
        <w:numPr>
          <w:ilvl w:val="0"/>
          <w:numId w:val="2"/>
        </w:numPr>
        <w:spacing w:after="80"/>
      </w:pPr>
      <w:r>
        <w:rPr>
          <w:rFonts w:ascii="Calibri" w:cs="Calibri" w:eastAsia="Calibri" w:hAnsi="Calibri"/>
          <w:b w:val="false"/>
          <w:bCs w:val="false"/>
          <w:i w:val="false"/>
          <w:iCs w:val="false"/>
          <w:color w:val="232B3E"/>
          <w:sz w:val="22"/>
          <w:szCs w:val="22"/>
        </w:rPr>
        <w:t xml:space="preserve">A trustee who becomes aware of a new interest declares it at the earliest opportunity, without waiting for the annual refresh.</w:t>
      </w:r>
    </w:p>
    <w:p>
      <w:pPr>
        <w:pStyle w:val="ListParagraph"/>
        <w:numPr>
          <w:ilvl w:val="0"/>
          <w:numId w:val="2"/>
        </w:numPr>
        <w:spacing w:after="80"/>
      </w:pPr>
      <w:r>
        <w:rPr>
          <w:rFonts w:ascii="Calibri" w:cs="Calibri" w:eastAsia="Calibri" w:hAnsi="Calibri"/>
          <w:b w:val="false"/>
          <w:bCs w:val="false"/>
          <w:i w:val="false"/>
          <w:iCs w:val="false"/>
          <w:color w:val="232B3E"/>
          <w:sz w:val="22"/>
          <w:szCs w:val="22"/>
        </w:rPr>
        <w:t xml:space="preserve">The declarations are held in a register of interests (Appendix A), kept by [the secretary] and reviewed by the board annually.</w:t>
      </w:r>
    </w:p>
    <w:p>
      <w:pPr>
        <w:spacing w:after="100" w:before="280"/>
      </w:pPr>
      <w:r>
        <w:rPr>
          <w:rFonts w:ascii="Calibri" w:cs="Calibri" w:eastAsia="Calibri" w:hAnsi="Calibri"/>
          <w:b/>
          <w:bCs/>
          <w:color w:val="1C2A4E"/>
          <w:sz w:val="26"/>
          <w:szCs w:val="26"/>
        </w:rPr>
        <w:t xml:space="preserve">5. Handling a conflict at a meeting</w:t>
      </w:r>
    </w:p>
    <w:p>
      <w:pPr>
        <w:spacing w:after="120"/>
      </w:pPr>
      <w:r>
        <w:rPr>
          <w:rFonts w:ascii="Calibri" w:cs="Calibri" w:eastAsia="Calibri" w:hAnsi="Calibri"/>
          <w:b w:val="false"/>
          <w:bCs w:val="false"/>
          <w:i w:val="false"/>
          <w:iCs w:val="false"/>
          <w:color w:val="232B3E"/>
          <w:sz w:val="22"/>
          <w:szCs w:val="22"/>
        </w:rPr>
        <w:t xml:space="preserve">When an agenda item touches a declared interest, the trustee states the interest and the chair decides how it will be managed. Our default approach follows Charity Commission guidance:</w:t>
      </w:r>
    </w:p>
    <w:p>
      <w:pPr>
        <w:pStyle w:val="ListParagraph"/>
        <w:numPr>
          <w:ilvl w:val="0"/>
          <w:numId w:val="2"/>
        </w:numPr>
        <w:spacing w:after="80"/>
      </w:pPr>
      <w:r>
        <w:rPr>
          <w:rFonts w:ascii="Calibri" w:cs="Calibri" w:eastAsia="Calibri" w:hAnsi="Calibri"/>
          <w:b w:val="false"/>
          <w:bCs w:val="false"/>
          <w:i w:val="false"/>
          <w:iCs w:val="false"/>
          <w:color w:val="232B3E"/>
          <w:sz w:val="22"/>
          <w:szCs w:val="22"/>
        </w:rPr>
        <w:t xml:space="preserve">The conflicted trustee </w:t>
      </w:r>
      <w:r>
        <w:rPr>
          <w:rFonts w:ascii="Calibri" w:cs="Calibri" w:eastAsia="Calibri" w:hAnsi="Calibri"/>
          <w:b/>
          <w:bCs/>
          <w:i w:val="false"/>
          <w:iCs w:val="false"/>
          <w:color w:val="232B3E"/>
          <w:sz w:val="22"/>
          <w:szCs w:val="22"/>
        </w:rPr>
        <w:t xml:space="preserve">takes no part in the discussion and does not vote</w:t>
      </w:r>
      <w:r>
        <w:rPr>
          <w:rFonts w:ascii="Calibri" w:cs="Calibri" w:eastAsia="Calibri" w:hAnsi="Calibri"/>
          <w:b w:val="false"/>
          <w:bCs w:val="false"/>
          <w:i w:val="false"/>
          <w:iCs w:val="false"/>
          <w:color w:val="232B3E"/>
          <w:sz w:val="22"/>
          <w:szCs w:val="22"/>
        </w:rPr>
        <w:t xml:space="preserve">, and withdraws from the meeting for that item unless the remaining trustees ask them to stay to answer factual questions.</w:t>
      </w:r>
    </w:p>
    <w:p>
      <w:pPr>
        <w:pStyle w:val="ListParagraph"/>
        <w:numPr>
          <w:ilvl w:val="0"/>
          <w:numId w:val="2"/>
        </w:numPr>
        <w:spacing w:after="80"/>
      </w:pPr>
      <w:r>
        <w:rPr>
          <w:rFonts w:ascii="Calibri" w:cs="Calibri" w:eastAsia="Calibri" w:hAnsi="Calibri"/>
          <w:b w:val="false"/>
          <w:bCs w:val="false"/>
          <w:i w:val="false"/>
          <w:iCs w:val="false"/>
          <w:color w:val="232B3E"/>
          <w:sz w:val="22"/>
          <w:szCs w:val="22"/>
        </w:rPr>
        <w:t xml:space="preserve">The minutes record </w:t>
      </w:r>
      <w:r>
        <w:rPr>
          <w:rFonts w:ascii="Calibri" w:cs="Calibri" w:eastAsia="Calibri" w:hAnsi="Calibri"/>
          <w:b/>
          <w:bCs/>
          <w:i w:val="false"/>
          <w:iCs w:val="false"/>
          <w:color w:val="232B3E"/>
          <w:sz w:val="22"/>
          <w:szCs w:val="22"/>
        </w:rPr>
        <w:t xml:space="preserve">who declared what, how it was managed, and who took the decision</w:t>
      </w:r>
      <w:r>
        <w:rPr>
          <w:rFonts w:ascii="Calibri" w:cs="Calibri" w:eastAsia="Calibri" w:hAnsi="Calibri"/>
          <w:b w:val="false"/>
          <w:bCs w:val="false"/>
          <w:i w:val="false"/>
          <w:iCs w:val="false"/>
          <w:color w:val="232B3E"/>
          <w:sz w:val="22"/>
          <w:szCs w:val="22"/>
        </w:rPr>
        <w:t xml:space="preserve">. This record protects the trustee as much as the charity.</w:t>
      </w:r>
    </w:p>
    <w:p>
      <w:pPr>
        <w:pStyle w:val="ListParagraph"/>
        <w:numPr>
          <w:ilvl w:val="0"/>
          <w:numId w:val="2"/>
        </w:numPr>
        <w:spacing w:after="80"/>
      </w:pPr>
      <w:r>
        <w:rPr>
          <w:rFonts w:ascii="Calibri" w:cs="Calibri" w:eastAsia="Calibri" w:hAnsi="Calibri"/>
          <w:b w:val="false"/>
          <w:bCs w:val="false"/>
          <w:i w:val="false"/>
          <w:iCs w:val="false"/>
          <w:color w:val="232B3E"/>
          <w:sz w:val="22"/>
          <w:szCs w:val="22"/>
        </w:rPr>
        <w:t xml:space="preserve">The meeting must remain quorate without the conflicted trustee. If it cannot, the decision is deferred or the chair seeks advice [from the Charity Commission where required].</w:t>
      </w:r>
    </w:p>
    <w:p>
      <w:pPr>
        <w:spacing w:after="120"/>
      </w:pPr>
      <w:r>
        <w:rPr>
          <w:rFonts w:ascii="Calibri" w:cs="Calibri" w:eastAsia="Calibri" w:hAnsi="Calibri"/>
          <w:b w:val="false"/>
          <w:bCs w:val="false"/>
          <w:i w:val="false"/>
          <w:iCs w:val="false"/>
          <w:color w:val="232B3E"/>
          <w:sz w:val="22"/>
          <w:szCs w:val="22"/>
        </w:rPr>
        <w:t xml:space="preserve">Where a conflict is so serious or persistent that it cannot be managed this way, the board will consider whether the trustee should resign from one of the conflicting roles.</w:t>
      </w:r>
    </w:p>
    <w:p>
      <w:pPr>
        <w:spacing w:after="100" w:before="280"/>
      </w:pPr>
      <w:r>
        <w:rPr>
          <w:rFonts w:ascii="Calibri" w:cs="Calibri" w:eastAsia="Calibri" w:hAnsi="Calibri"/>
          <w:b/>
          <w:bCs/>
          <w:color w:val="1C2A4E"/>
          <w:sz w:val="26"/>
          <w:szCs w:val="26"/>
        </w:rPr>
        <w:t xml:space="preserve">6. Trustee benefits and payments</w:t>
      </w:r>
    </w:p>
    <w:p>
      <w:pPr>
        <w:spacing w:after="120"/>
      </w:pPr>
      <w:r>
        <w:rPr>
          <w:rFonts w:ascii="Calibri" w:cs="Calibri" w:eastAsia="Calibri" w:hAnsi="Calibri"/>
          <w:b w:val="false"/>
          <w:bCs w:val="false"/>
          <w:i w:val="false"/>
          <w:iCs w:val="false"/>
          <w:color w:val="232B3E"/>
          <w:sz w:val="22"/>
          <w:szCs w:val="22"/>
        </w:rPr>
        <w:t xml:space="preserve">A trustee (or connected person) may only receive a payment or benefit from the charity where there is clear authority for it: in our governing document, in statute, or with the prior consent of the Charity Commission [in Scotland, under the conditions in the 2005 Act]. Reasonable out-of-pocket expenses are not a benefit and are always claimable.</w:t>
      </w:r>
    </w:p>
    <w:p>
      <w:pPr>
        <w:spacing w:after="100" w:before="280"/>
      </w:pPr>
      <w:r>
        <w:rPr>
          <w:rFonts w:ascii="Calibri" w:cs="Calibri" w:eastAsia="Calibri" w:hAnsi="Calibri"/>
          <w:b/>
          <w:bCs/>
          <w:color w:val="1C2A4E"/>
          <w:sz w:val="26"/>
          <w:szCs w:val="26"/>
        </w:rPr>
        <w:t xml:space="preserve">7. Breaches</w:t>
      </w:r>
    </w:p>
    <w:p>
      <w:pPr>
        <w:spacing w:after="120"/>
      </w:pPr>
      <w:r>
        <w:rPr>
          <w:rFonts w:ascii="Calibri" w:cs="Calibri" w:eastAsia="Calibri" w:hAnsi="Calibri"/>
          <w:b w:val="false"/>
          <w:bCs w:val="false"/>
          <w:i w:val="false"/>
          <w:iCs w:val="false"/>
          <w:color w:val="232B3E"/>
          <w:sz w:val="22"/>
          <w:szCs w:val="22"/>
        </w:rPr>
        <w:t xml:space="preserve">A failure to declare a relevant interest is treated seriously. The board will consider the circumstances and may need to revisit the affected decision, and in significant cases will take advice on whether it is reportable to the regulator.</w:t>
      </w:r>
    </w:p>
    <w:p>
      <w:pPr>
        <w:spacing w:after="100" w:before="280"/>
      </w:pPr>
      <w:r>
        <w:rPr>
          <w:rFonts w:ascii="Calibri" w:cs="Calibri" w:eastAsia="Calibri" w:hAnsi="Calibri"/>
          <w:b/>
          <w:bCs/>
          <w:color w:val="1C2A4E"/>
          <w:sz w:val="26"/>
          <w:szCs w:val="26"/>
        </w:rPr>
        <w:t xml:space="preserve">Adoption and review</w:t>
      </w:r>
    </w:p>
    <w:p>
      <w:pPr>
        <w:spacing w:after="120"/>
      </w:pPr>
      <w:r>
        <w:rPr>
          <w:rFonts w:ascii="Calibri" w:cs="Calibri" w:eastAsia="Calibri" w:hAnsi="Calibri"/>
          <w:b w:val="false"/>
          <w:bCs w:val="false"/>
          <w:i w:val="false"/>
          <w:iCs w:val="false"/>
          <w:color w:val="232B3E"/>
          <w:sz w:val="22"/>
          <w:szCs w:val="22"/>
        </w:rPr>
        <w:t xml:space="preserve">Adopted by the trustees of </w:t>
      </w:r>
      <w:r>
        <w:rPr>
          <w:rFonts w:ascii="Calibri" w:cs="Calibri" w:eastAsia="Calibri" w:hAnsi="Calibri"/>
          <w:b/>
          <w:bCs/>
          <w:i w:val="false"/>
          <w:iCs w:val="false"/>
          <w:color w:val="232B3E"/>
          <w:sz w:val="22"/>
          <w:szCs w:val="22"/>
        </w:rPr>
        <w:t xml:space="preserve">[charity name]</w:t>
      </w:r>
      <w:r>
        <w:rPr>
          <w:rFonts w:ascii="Calibri" w:cs="Calibri" w:eastAsia="Calibri" w:hAnsi="Calibri"/>
          <w:b w:val="false"/>
          <w:bCs w:val="false"/>
          <w:i w:val="false"/>
          <w:iCs w:val="false"/>
          <w:color w:val="232B3E"/>
          <w:sz w:val="22"/>
          <w:szCs w:val="22"/>
        </w:rPr>
        <w:t xml:space="preserve"> on </w:t>
      </w:r>
      <w:r>
        <w:rPr>
          <w:rFonts w:ascii="Calibri" w:cs="Calibri" w:eastAsia="Calibri" w:hAnsi="Calibri"/>
          <w:b/>
          <w:bCs/>
          <w:i w:val="false"/>
          <w:iCs w:val="false"/>
          <w:color w:val="232B3E"/>
          <w:sz w:val="22"/>
          <w:szCs w:val="22"/>
        </w:rPr>
        <w:t xml:space="preserve">[date]</w:t>
      </w:r>
      <w:r>
        <w:rPr>
          <w:rFonts w:ascii="Calibri" w:cs="Calibri" w:eastAsia="Calibri" w:hAnsi="Calibri"/>
          <w:b w:val="false"/>
          <w:bCs w:val="false"/>
          <w:i w:val="false"/>
          <w:iCs w:val="false"/>
          <w:color w:val="232B3E"/>
          <w:sz w:val="22"/>
          <w:szCs w:val="22"/>
        </w:rPr>
        <w:t xml:space="preserve">.</w:t>
      </w:r>
    </w:p>
    <w:p>
      <w:pPr>
        <w:spacing w:after="120"/>
      </w:pPr>
      <w:r>
        <w:rPr>
          <w:rFonts w:ascii="Calibri" w:cs="Calibri" w:eastAsia="Calibri" w:hAnsi="Calibri"/>
          <w:b w:val="false"/>
          <w:bCs w:val="false"/>
          <w:i w:val="false"/>
          <w:iCs w:val="false"/>
          <w:color w:val="232B3E"/>
          <w:sz w:val="22"/>
          <w:szCs w:val="22"/>
        </w:rPr>
        <w:t xml:space="preserve">Next review due: </w:t>
      </w:r>
      <w:r>
        <w:rPr>
          <w:rFonts w:ascii="Calibri" w:cs="Calibri" w:eastAsia="Calibri" w:hAnsi="Calibri"/>
          <w:b/>
          <w:bCs/>
          <w:i w:val="false"/>
          <w:iCs w:val="false"/>
          <w:color w:val="232B3E"/>
          <w:sz w:val="22"/>
          <w:szCs w:val="22"/>
        </w:rPr>
        <w:t xml:space="preserve">[date — we suggest yearly]</w:t>
      </w:r>
      <w:r>
        <w:rPr>
          <w:rFonts w:ascii="Calibri" w:cs="Calibri" w:eastAsia="Calibri" w:hAnsi="Calibri"/>
          <w:b w:val="false"/>
          <w:bCs w:val="false"/>
          <w:i w:val="false"/>
          <w:iCs w:val="false"/>
          <w:color w:val="232B3E"/>
          <w:sz w:val="22"/>
          <w:szCs w:val="22"/>
        </w:rPr>
        <w:t xml:space="preserve">.   Responsibility for keeping this policy up to date: </w:t>
      </w:r>
      <w:r>
        <w:rPr>
          <w:rFonts w:ascii="Calibri" w:cs="Calibri" w:eastAsia="Calibri" w:hAnsi="Calibri"/>
          <w:b/>
          <w:bCs/>
          <w:i w:val="false"/>
          <w:iCs w:val="false"/>
          <w:color w:val="232B3E"/>
          <w:sz w:val="22"/>
          <w:szCs w:val="22"/>
        </w:rPr>
        <w:t xml:space="preserve">[role, e.g. the secretary]</w:t>
      </w:r>
      <w:r>
        <w:rPr>
          <w:rFonts w:ascii="Calibri" w:cs="Calibri" w:eastAsia="Calibri" w:hAnsi="Calibri"/>
          <w:b w:val="false"/>
          <w:bCs w:val="false"/>
          <w:i w:val="false"/>
          <w:iCs w:val="false"/>
          <w:color w:val="232B3E"/>
          <w:sz w:val="22"/>
          <w:szCs w:val="22"/>
        </w:rPr>
        <w:t xml:space="preserve">.</w:t>
      </w:r>
    </w:p>
    <w:p>
      <w:pPr>
        <w:spacing w:after="120"/>
      </w:pPr>
      <w:r>
        <w:rPr>
          <w:rFonts w:ascii="Calibri" w:cs="Calibri" w:eastAsia="Calibri" w:hAnsi="Calibri"/>
          <w:b w:val="false"/>
          <w:bCs w:val="false"/>
          <w:i w:val="false"/>
          <w:iCs w:val="false"/>
          <w:color w:val="232B3E"/>
          <w:sz w:val="22"/>
          <w:szCs w:val="22"/>
        </w:rPr>
        <w:t xml:space="preserve">Signed (chair): ______________________________          Date: ________________</w:t>
      </w:r>
    </w:p>
    <w:p>
      <w:pPr>
        <w:pageBreakBefore/>
      </w:pPr>
      <w:r>
        <w:rPr>
          <w:rFonts w:ascii="Calibri" w:cs="Calibri" w:eastAsia="Calibri" w:hAnsi="Calibri"/>
          <w:b/>
          <w:bCs/>
          <w:color w:val="1C2A4E"/>
          <w:sz w:val="28"/>
          <w:szCs w:val="28"/>
        </w:rPr>
        <w:t xml:space="preserve">Appendix A — Register of interests</w:t>
      </w:r>
    </w:p>
    <w:p>
      <w:pPr>
        <w:spacing w:after="60" w:before="60"/>
      </w:pPr>
      <w:r>
        <w:rPr>
          <w:rFonts w:ascii="Calibri" w:cs="Calibri" w:eastAsia="Calibri" w:hAnsi="Calibri"/>
          <w:b w:val="false"/>
          <w:bCs w:val="false"/>
          <w:i w:val="false"/>
          <w:iCs w:val="false"/>
          <w:color w:val="5A6377"/>
          <w:sz w:val="18"/>
          <w:szCs w:val="18"/>
        </w:rPr>
        <w:t xml:space="preserve">Kept by [the secretary]. Reviewed by the board annually. One row per interest.</w:t>
      </w:r>
    </w:p>
    <w:tbl>
      <w:tblPr>
        <w:tblW w:type="dxa" w:w="9100"/>
        <w:tblBorders>
          <w:top w:val="single" w:color="auto" w:sz="4"/>
          <w:left w:val="single" w:color="auto" w:sz="4"/>
          <w:bottom w:val="single" w:color="auto" w:sz="4"/>
          <w:right w:val="single" w:color="auto" w:sz="4"/>
          <w:insideH w:val="single" w:color="auto" w:sz="4"/>
          <w:insideV w:val="single" w:color="auto" w:sz="4"/>
        </w:tblBorders>
      </w:tblPr>
      <w:tblGrid>
        <w:gridCol w:w="1900"/>
        <w:gridCol w:w="1300"/>
        <w:gridCol w:w="4600"/>
        <w:gridCol w:w="1300"/>
      </w:tblGrid>
      <w:tr>
        <w:tc>
          <w:tcPr>
            <w:tcW w:type="dxa" w:w="1900"/>
            <w:shd w:fill="1C2A4E" w:val="clear"/>
          </w:tcPr>
          <w:p>
            <w:r>
              <w:rPr>
                <w:rFonts w:ascii="Calibri" w:cs="Calibri" w:eastAsia="Calibri" w:hAnsi="Calibri"/>
                <w:b/>
                <w:bCs/>
                <w:color w:val="FFFFFF"/>
                <w:sz w:val="20"/>
                <w:szCs w:val="20"/>
              </w:rPr>
              <w:t xml:space="preserve">Trustee</w:t>
            </w:r>
          </w:p>
        </w:tc>
        <w:tc>
          <w:tcPr>
            <w:tcW w:type="dxa" w:w="1300"/>
            <w:shd w:fill="1C2A4E" w:val="clear"/>
          </w:tcPr>
          <w:p>
            <w:r>
              <w:rPr>
                <w:rFonts w:ascii="Calibri" w:cs="Calibri" w:eastAsia="Calibri" w:hAnsi="Calibri"/>
                <w:b/>
                <w:bCs/>
                <w:color w:val="FFFFFF"/>
                <w:sz w:val="20"/>
                <w:szCs w:val="20"/>
              </w:rPr>
              <w:t xml:space="preserve">Role</w:t>
            </w:r>
          </w:p>
        </w:tc>
        <w:tc>
          <w:tcPr>
            <w:tcW w:type="dxa" w:w="4600"/>
            <w:shd w:fill="1C2A4E" w:val="clear"/>
          </w:tcPr>
          <w:p>
            <w:r>
              <w:rPr>
                <w:rFonts w:ascii="Calibri" w:cs="Calibri" w:eastAsia="Calibri" w:hAnsi="Calibri"/>
                <w:b/>
                <w:bCs/>
                <w:color w:val="FFFFFF"/>
                <w:sz w:val="20"/>
                <w:szCs w:val="20"/>
              </w:rPr>
              <w:t xml:space="preserve">Interest declared (type and details)</w:t>
            </w:r>
          </w:p>
        </w:tc>
        <w:tc>
          <w:tcPr>
            <w:tcW w:type="dxa" w:w="1300"/>
            <w:shd w:fill="1C2A4E" w:val="clear"/>
          </w:tcPr>
          <w:p>
            <w:r>
              <w:rPr>
                <w:rFonts w:ascii="Calibri" w:cs="Calibri" w:eastAsia="Calibri" w:hAnsi="Calibri"/>
                <w:b/>
                <w:bCs/>
                <w:color w:val="FFFFFF"/>
                <w:sz w:val="20"/>
                <w:szCs w:val="20"/>
              </w:rPr>
              <w:t xml:space="preserve">Date declared</w:t>
            </w:r>
          </w:p>
        </w:tc>
      </w:tr>
      <w:tr>
        <w:tc>
          <w:tcPr>
            <w:tcW w:type="dxa" w:w="1900"/>
          </w:tcPr>
          <w:p>
            <w:r>
              <w:rPr>
                <w:rFonts w:ascii="Calibri" w:cs="Calibri" w:eastAsia="Calibri" w:hAnsi="Calibri"/>
                <w:b w:val="false"/>
                <w:bCs w:val="false"/>
                <w:i w:val="false"/>
                <w:iCs w:val="false"/>
                <w:color w:val="232B3E"/>
                <w:sz w:val="20"/>
                <w:szCs w:val="20"/>
              </w:rPr>
              <w:t xml:space="preserve">[Name]</w:t>
            </w:r>
          </w:p>
        </w:tc>
        <w:tc>
          <w:tcPr>
            <w:tcW w:type="dxa" w:w="1300"/>
          </w:tcPr>
          <w:p>
            <w:r>
              <w:rPr>
                <w:rFonts w:ascii="Calibri" w:cs="Calibri" w:eastAsia="Calibri" w:hAnsi="Calibri"/>
                <w:b w:val="false"/>
                <w:bCs w:val="false"/>
                <w:i w:val="false"/>
                <w:iCs w:val="false"/>
                <w:color w:val="232B3E"/>
                <w:sz w:val="20"/>
                <w:szCs w:val="20"/>
              </w:rPr>
              <w:t xml:space="preserve">[Chair]</w:t>
            </w:r>
          </w:p>
        </w:tc>
        <w:tc>
          <w:tcPr>
            <w:tcW w:type="dxa" w:w="4600"/>
          </w:tcPr>
          <w:p>
            <w:r>
              <w:rPr>
                <w:rFonts w:ascii="Calibri" w:cs="Calibri" w:eastAsia="Calibri" w:hAnsi="Calibri"/>
                <w:b w:val="false"/>
                <w:bCs w:val="false"/>
                <w:i w:val="false"/>
                <w:iCs w:val="false"/>
                <w:color w:val="232B3E"/>
                <w:sz w:val="20"/>
                <w:szCs w:val="20"/>
              </w:rPr>
              <w:t xml:space="preserve">[e.g. Director of ABC Ltd, which supplies the charity's printing]</w:t>
            </w:r>
          </w:p>
        </w:tc>
        <w:tc>
          <w:tcPr>
            <w:tcW w:type="dxa" w:w="1300"/>
          </w:tcPr>
          <w:p>
            <w:r>
              <w:rPr>
                <w:rFonts w:ascii="Calibri" w:cs="Calibri" w:eastAsia="Calibri" w:hAnsi="Calibri"/>
                <w:b w:val="false"/>
                <w:bCs w:val="false"/>
                <w:i w:val="false"/>
                <w:iCs w:val="false"/>
                <w:color w:val="232B3E"/>
                <w:sz w:val="20"/>
                <w:szCs w:val="20"/>
              </w:rPr>
              <w:t xml:space="preserve">[date]</w:t>
            </w:r>
          </w:p>
        </w:tc>
      </w:tr>
      <w:tr>
        <w:tc>
          <w:tcPr>
            <w:tcW w:type="dxa" w:w="1900"/>
            <w:shd w:fill="F5F6FA" w:val="clear"/>
          </w:tcPr>
          <w:p/>
        </w:tc>
        <w:tc>
          <w:tcPr>
            <w:tcW w:type="dxa" w:w="1300"/>
            <w:shd w:fill="F5F6FA" w:val="clear"/>
          </w:tcPr>
          <w:p/>
        </w:tc>
        <w:tc>
          <w:tcPr>
            <w:tcW w:type="dxa" w:w="4600"/>
            <w:shd w:fill="F5F6FA" w:val="clear"/>
          </w:tcPr>
          <w:p/>
        </w:tc>
        <w:tc>
          <w:tcPr>
            <w:tcW w:type="dxa" w:w="1300"/>
            <w:shd w:fill="F5F6FA" w:val="clear"/>
          </w:tcPr>
          <w:p/>
        </w:tc>
      </w:tr>
      <w:tr>
        <w:tc>
          <w:tcPr>
            <w:tcW w:type="dxa" w:w="1900"/>
          </w:tcPr>
          <w:p/>
        </w:tc>
        <w:tc>
          <w:tcPr>
            <w:tcW w:type="dxa" w:w="1300"/>
          </w:tcPr>
          <w:p/>
        </w:tc>
        <w:tc>
          <w:tcPr>
            <w:tcW w:type="dxa" w:w="4600"/>
          </w:tcPr>
          <w:p/>
        </w:tc>
        <w:tc>
          <w:tcPr>
            <w:tcW w:type="dxa" w:w="1300"/>
          </w:tcPr>
          <w:p/>
        </w:tc>
      </w:tr>
      <w:tr>
        <w:tc>
          <w:tcPr>
            <w:tcW w:type="dxa" w:w="1900"/>
            <w:shd w:fill="F5F6FA" w:val="clear"/>
          </w:tcPr>
          <w:p/>
        </w:tc>
        <w:tc>
          <w:tcPr>
            <w:tcW w:type="dxa" w:w="1300"/>
            <w:shd w:fill="F5F6FA" w:val="clear"/>
          </w:tcPr>
          <w:p/>
        </w:tc>
        <w:tc>
          <w:tcPr>
            <w:tcW w:type="dxa" w:w="4600"/>
            <w:shd w:fill="F5F6FA" w:val="clear"/>
          </w:tcPr>
          <w:p/>
        </w:tc>
        <w:tc>
          <w:tcPr>
            <w:tcW w:type="dxa" w:w="1300"/>
            <w:shd w:fill="F5F6FA" w:val="clear"/>
          </w:tcPr>
          <w:p/>
        </w:tc>
      </w:tr>
      <w:tr>
        <w:tc>
          <w:tcPr>
            <w:tcW w:type="dxa" w:w="1900"/>
          </w:tcPr>
          <w:p/>
        </w:tc>
        <w:tc>
          <w:tcPr>
            <w:tcW w:type="dxa" w:w="1300"/>
          </w:tcPr>
          <w:p/>
        </w:tc>
        <w:tc>
          <w:tcPr>
            <w:tcW w:type="dxa" w:w="4600"/>
          </w:tcPr>
          <w:p/>
        </w:tc>
        <w:tc>
          <w:tcPr>
            <w:tcW w:type="dxa" w:w="1300"/>
          </w:tcPr>
          <w:p/>
        </w:tc>
      </w:tr>
      <w:tr>
        <w:tc>
          <w:tcPr>
            <w:tcW w:type="dxa" w:w="1900"/>
            <w:shd w:fill="F5F6FA" w:val="clear"/>
          </w:tcPr>
          <w:p/>
        </w:tc>
        <w:tc>
          <w:tcPr>
            <w:tcW w:type="dxa" w:w="1300"/>
            <w:shd w:fill="F5F6FA" w:val="clear"/>
          </w:tcPr>
          <w:p/>
        </w:tc>
        <w:tc>
          <w:tcPr>
            <w:tcW w:type="dxa" w:w="4600"/>
            <w:shd w:fill="F5F6FA" w:val="clear"/>
          </w:tcPr>
          <w:p/>
        </w:tc>
        <w:tc>
          <w:tcPr>
            <w:tcW w:type="dxa" w:w="1300"/>
            <w:shd w:fill="F5F6FA" w:val="clear"/>
          </w:tcPr>
          <w:p/>
        </w:tc>
      </w:tr>
    </w:tbl>
    <w:p>
      <w:pPr>
        <w:pageBreakBefore/>
      </w:pPr>
      <w:r>
        <w:rPr>
          <w:rFonts w:ascii="Calibri" w:cs="Calibri" w:eastAsia="Calibri" w:hAnsi="Calibri"/>
          <w:b/>
          <w:bCs/>
          <w:color w:val="1C2A4E"/>
          <w:sz w:val="28"/>
          <w:szCs w:val="28"/>
        </w:rPr>
        <w:t xml:space="preserve">Appendix B — Declaration of interests form</w:t>
      </w:r>
    </w:p>
    <w:p>
      <w:pPr>
        <w:spacing w:after="60" w:before="60"/>
      </w:pPr>
      <w:r>
        <w:rPr>
          <w:rFonts w:ascii="Calibri" w:cs="Calibri" w:eastAsia="Calibri" w:hAnsi="Calibri"/>
          <w:b w:val="false"/>
          <w:bCs w:val="false"/>
          <w:i w:val="false"/>
          <w:iCs w:val="false"/>
          <w:color w:val="5A6377"/>
          <w:sz w:val="18"/>
          <w:szCs w:val="18"/>
        </w:rPr>
        <w:t xml:space="preserve">Completed by each trustee on appointment and refreshed annually. Return to [the secretary].</w:t>
      </w:r>
    </w:p>
    <w:p>
      <w:pPr>
        <w:spacing w:after="120"/>
      </w:pPr>
      <w:r>
        <w:rPr>
          <w:rFonts w:ascii="Calibri" w:cs="Calibri" w:eastAsia="Calibri" w:hAnsi="Calibri"/>
          <w:b/>
          <w:bCs/>
          <w:i w:val="false"/>
          <w:iCs w:val="false"/>
          <w:color w:val="232B3E"/>
          <w:sz w:val="22"/>
          <w:szCs w:val="22"/>
        </w:rPr>
        <w:t xml:space="preserve">Name:</w:t>
      </w:r>
      <w:r>
        <w:rPr>
          <w:rFonts w:ascii="Calibri" w:cs="Calibri" w:eastAsia="Calibri" w:hAnsi="Calibri"/>
          <w:b w:val="false"/>
          <w:bCs w:val="false"/>
          <w:i w:val="false"/>
          <w:iCs w:val="false"/>
          <w:color w:val="232B3E"/>
          <w:sz w:val="22"/>
          <w:szCs w:val="22"/>
        </w:rPr>
        <w:t xml:space="preserve"> ______________________________    </w:t>
      </w:r>
      <w:r>
        <w:rPr>
          <w:rFonts w:ascii="Calibri" w:cs="Calibri" w:eastAsia="Calibri" w:hAnsi="Calibri"/>
          <w:b/>
          <w:bCs/>
          <w:i w:val="false"/>
          <w:iCs w:val="false"/>
          <w:color w:val="232B3E"/>
          <w:sz w:val="22"/>
          <w:szCs w:val="22"/>
        </w:rPr>
        <w:t xml:space="preserve">Role:</w:t>
      </w:r>
      <w:r>
        <w:rPr>
          <w:rFonts w:ascii="Calibri" w:cs="Calibri" w:eastAsia="Calibri" w:hAnsi="Calibri"/>
          <w:b w:val="false"/>
          <w:bCs w:val="false"/>
          <w:i w:val="false"/>
          <w:iCs w:val="false"/>
          <w:color w:val="232B3E"/>
          <w:sz w:val="22"/>
          <w:szCs w:val="22"/>
        </w:rPr>
        <w:t xml:space="preserve"> ______________________________</w:t>
      </w:r>
    </w:p>
    <w:p>
      <w:pPr>
        <w:spacing w:after="120"/>
      </w:pPr>
      <w:r>
        <w:rPr>
          <w:rFonts w:ascii="Calibri" w:cs="Calibri" w:eastAsia="Calibri" w:hAnsi="Calibri"/>
          <w:b w:val="false"/>
          <w:bCs w:val="false"/>
          <w:i w:val="false"/>
          <w:iCs w:val="false"/>
          <w:color w:val="232B3E"/>
          <w:sz w:val="22"/>
          <w:szCs w:val="22"/>
        </w:rPr>
        <w:t xml:space="preserve">Please list, or write “none” against, each of the following:</w:t>
      </w:r>
    </w:p>
    <w:p>
      <w:pPr>
        <w:pStyle w:val="ListParagraph"/>
        <w:numPr>
          <w:ilvl w:val="0"/>
          <w:numId w:val="2"/>
        </w:numPr>
        <w:spacing w:after="80"/>
      </w:pPr>
      <w:r>
        <w:rPr>
          <w:rFonts w:ascii="Calibri" w:cs="Calibri" w:eastAsia="Calibri" w:hAnsi="Calibri"/>
          <w:b/>
          <w:bCs/>
          <w:i w:val="false"/>
          <w:iCs w:val="false"/>
          <w:color w:val="232B3E"/>
          <w:sz w:val="22"/>
          <w:szCs w:val="22"/>
        </w:rPr>
        <w:t xml:space="preserve">Employment and business interests</w:t>
      </w:r>
      <w:r>
        <w:rPr>
          <w:rFonts w:ascii="Calibri" w:cs="Calibri" w:eastAsia="Calibri" w:hAnsi="Calibri"/>
          <w:b w:val="false"/>
          <w:bCs w:val="false"/>
          <w:i w:val="false"/>
          <w:iCs w:val="false"/>
          <w:color w:val="232B3E"/>
          <w:sz w:val="22"/>
          <w:szCs w:val="22"/>
        </w:rPr>
        <w:t xml:space="preserve"> (including directorships and partnerships): ______________________________</w:t>
      </w:r>
    </w:p>
    <w:p>
      <w:pPr>
        <w:pStyle w:val="ListParagraph"/>
        <w:numPr>
          <w:ilvl w:val="0"/>
          <w:numId w:val="2"/>
        </w:numPr>
        <w:spacing w:after="80"/>
      </w:pPr>
      <w:r>
        <w:rPr>
          <w:rFonts w:ascii="Calibri" w:cs="Calibri" w:eastAsia="Calibri" w:hAnsi="Calibri"/>
          <w:b/>
          <w:bCs/>
          <w:i w:val="false"/>
          <w:iCs w:val="false"/>
          <w:color w:val="232B3E"/>
          <w:sz w:val="22"/>
          <w:szCs w:val="22"/>
        </w:rPr>
        <w:t xml:space="preserve">Other trusteeships or public appointments:</w:t>
      </w:r>
      <w:r>
        <w:rPr>
          <w:rFonts w:ascii="Calibri" w:cs="Calibri" w:eastAsia="Calibri" w:hAnsi="Calibri"/>
          <w:b w:val="false"/>
          <w:bCs w:val="false"/>
          <w:i w:val="false"/>
          <w:iCs w:val="false"/>
          <w:color w:val="232B3E"/>
          <w:sz w:val="22"/>
          <w:szCs w:val="22"/>
        </w:rPr>
        <w:t xml:space="preserve"> ______________________________</w:t>
      </w:r>
    </w:p>
    <w:p>
      <w:pPr>
        <w:pStyle w:val="ListParagraph"/>
        <w:numPr>
          <w:ilvl w:val="0"/>
          <w:numId w:val="2"/>
        </w:numPr>
        <w:spacing w:after="80"/>
      </w:pPr>
      <w:r>
        <w:rPr>
          <w:rFonts w:ascii="Calibri" w:cs="Calibri" w:eastAsia="Calibri" w:hAnsi="Calibri"/>
          <w:b/>
          <w:bCs/>
          <w:i w:val="false"/>
          <w:iCs w:val="false"/>
          <w:color w:val="232B3E"/>
          <w:sz w:val="22"/>
          <w:szCs w:val="22"/>
        </w:rPr>
        <w:t xml:space="preserve">Interests of connected persons</w:t>
      </w:r>
      <w:r>
        <w:rPr>
          <w:rFonts w:ascii="Calibri" w:cs="Calibri" w:eastAsia="Calibri" w:hAnsi="Calibri"/>
          <w:b w:val="false"/>
          <w:bCs w:val="false"/>
          <w:i w:val="false"/>
          <w:iCs w:val="false"/>
          <w:color w:val="232B3E"/>
          <w:sz w:val="22"/>
          <w:szCs w:val="22"/>
        </w:rPr>
        <w:t xml:space="preserve"> (close family or business partners) that are relevant to this charity: ______________________________</w:t>
      </w:r>
    </w:p>
    <w:p>
      <w:pPr>
        <w:pStyle w:val="ListParagraph"/>
        <w:numPr>
          <w:ilvl w:val="0"/>
          <w:numId w:val="2"/>
        </w:numPr>
        <w:spacing w:after="80"/>
      </w:pPr>
      <w:r>
        <w:rPr>
          <w:rFonts w:ascii="Calibri" w:cs="Calibri" w:eastAsia="Calibri" w:hAnsi="Calibri"/>
          <w:b/>
          <w:bCs/>
          <w:i w:val="false"/>
          <w:iCs w:val="false"/>
          <w:color w:val="232B3E"/>
          <w:sz w:val="22"/>
          <w:szCs w:val="22"/>
        </w:rPr>
        <w:t xml:space="preserve">Land, property or contracts</w:t>
      </w:r>
      <w:r>
        <w:rPr>
          <w:rFonts w:ascii="Calibri" w:cs="Calibri" w:eastAsia="Calibri" w:hAnsi="Calibri"/>
          <w:b w:val="false"/>
          <w:bCs w:val="false"/>
          <w:i w:val="false"/>
          <w:iCs w:val="false"/>
          <w:color w:val="232B3E"/>
          <w:sz w:val="22"/>
          <w:szCs w:val="22"/>
        </w:rPr>
        <w:t xml:space="preserve"> involving the charity: ______________________________</w:t>
      </w:r>
    </w:p>
    <w:p>
      <w:pPr>
        <w:pStyle w:val="ListParagraph"/>
        <w:numPr>
          <w:ilvl w:val="0"/>
          <w:numId w:val="2"/>
        </w:numPr>
        <w:spacing w:after="80"/>
      </w:pPr>
      <w:r>
        <w:rPr>
          <w:rFonts w:ascii="Calibri" w:cs="Calibri" w:eastAsia="Calibri" w:hAnsi="Calibri"/>
          <w:b/>
          <w:bCs/>
          <w:i w:val="false"/>
          <w:iCs w:val="false"/>
          <w:color w:val="232B3E"/>
          <w:sz w:val="22"/>
          <w:szCs w:val="22"/>
        </w:rPr>
        <w:t xml:space="preserve">Gifts or hospitality over £[25]</w:t>
      </w:r>
      <w:r>
        <w:rPr>
          <w:rFonts w:ascii="Calibri" w:cs="Calibri" w:eastAsia="Calibri" w:hAnsi="Calibri"/>
          <w:b w:val="false"/>
          <w:bCs w:val="false"/>
          <w:i w:val="false"/>
          <w:iCs w:val="false"/>
          <w:color w:val="232B3E"/>
          <w:sz w:val="22"/>
          <w:szCs w:val="22"/>
        </w:rPr>
        <w:t xml:space="preserve"> received in connection with your role: ______________________________</w:t>
      </w:r>
    </w:p>
    <w:p>
      <w:pPr>
        <w:spacing w:after="120"/>
      </w:pPr>
      <w:r>
        <w:rPr>
          <w:rFonts w:ascii="Calibri" w:cs="Calibri" w:eastAsia="Calibri" w:hAnsi="Calibri"/>
          <w:b w:val="false"/>
          <w:bCs w:val="false"/>
          <w:i w:val="false"/>
          <w:iCs w:val="false"/>
          <w:color w:val="232B3E"/>
          <w:sz w:val="22"/>
          <w:szCs w:val="22"/>
        </w:rPr>
        <w:t xml:space="preserve">I confirm this declaration is complete to the best of my knowledge, and I will report any changes promptly.</w:t>
      </w:r>
    </w:p>
    <w:p>
      <w:pPr>
        <w:spacing w:after="120"/>
      </w:pPr>
      <w:r>
        <w:rPr>
          <w:rFonts w:ascii="Calibri" w:cs="Calibri" w:eastAsia="Calibri" w:hAnsi="Calibri"/>
          <w:b/>
          <w:bCs/>
          <w:i w:val="false"/>
          <w:iCs w:val="false"/>
          <w:color w:val="232B3E"/>
          <w:sz w:val="22"/>
          <w:szCs w:val="22"/>
        </w:rPr>
        <w:t xml:space="preserve">Signed:</w:t>
      </w:r>
      <w:r>
        <w:rPr>
          <w:rFonts w:ascii="Calibri" w:cs="Calibri" w:eastAsia="Calibri" w:hAnsi="Calibri"/>
          <w:b w:val="false"/>
          <w:bCs w:val="false"/>
          <w:i w:val="false"/>
          <w:iCs w:val="false"/>
          <w:color w:val="232B3E"/>
          <w:sz w:val="22"/>
          <w:szCs w:val="22"/>
        </w:rPr>
        <w:t xml:space="preserve"> ______________________________          </w:t>
      </w:r>
      <w:r>
        <w:rPr>
          <w:rFonts w:ascii="Calibri" w:cs="Calibri" w:eastAsia="Calibri" w:hAnsi="Calibri"/>
          <w:b/>
          <w:bCs/>
          <w:i w:val="false"/>
          <w:iCs w:val="false"/>
          <w:color w:val="232B3E"/>
          <w:sz w:val="22"/>
          <w:szCs w:val="22"/>
        </w:rPr>
        <w:t xml:space="preserve">Date:</w:t>
      </w:r>
      <w:r>
        <w:rPr>
          <w:rFonts w:ascii="Calibri" w:cs="Calibri" w:eastAsia="Calibri" w:hAnsi="Calibri"/>
          <w:b w:val="false"/>
          <w:bCs w:val="false"/>
          <w:i w:val="false"/>
          <w:iCs w:val="false"/>
          <w:color w:val="232B3E"/>
          <w:sz w:val="22"/>
          <w:szCs w:val="22"/>
        </w:rPr>
        <w:t xml:space="preserve"> ________________</w:t>
      </w:r>
    </w:p>
    <w:p>
      <w:pPr>
        <w:pBdr>
          <w:top w:val="single" w:color="E0E3EE" w:sz="6"/>
        </w:pBdr>
        <w:spacing w:after="60" w:before="240"/>
      </w:pPr>
    </w:p>
    <w:p>
      <w:pPr>
        <w:spacing w:after="60" w:before="60"/>
      </w:pPr>
      <w:r>
        <w:rPr>
          <w:rFonts w:ascii="Calibri" w:cs="Calibri" w:eastAsia="Calibri" w:hAnsi="Calibri"/>
          <w:b w:val="false"/>
          <w:bCs w:val="false"/>
          <w:i w:val="false"/>
          <w:iCs w:val="false"/>
          <w:color w:val="5A6377"/>
          <w:sz w:val="18"/>
          <w:szCs w:val="18"/>
        </w:rPr>
        <w:t xml:space="preserve">Free template from </w:t>
      </w:r>
      <w:r>
        <w:rPr>
          <w:rFonts w:ascii="Calibri" w:cs="Calibri" w:eastAsia="Calibri" w:hAnsi="Calibri"/>
          <w:b/>
          <w:bCs/>
          <w:i w:val="false"/>
          <w:iCs w:val="false"/>
          <w:color w:val="5A6377"/>
          <w:sz w:val="18"/>
          <w:szCs w:val="18"/>
        </w:rPr>
        <w:t xml:space="preserve">The Committee Room</w:t>
      </w:r>
      <w:r>
        <w:rPr>
          <w:rFonts w:ascii="Calibri" w:cs="Calibri" w:eastAsia="Calibri" w:hAnsi="Calibri"/>
          <w:b w:val="false"/>
          <w:bCs w:val="false"/>
          <w:i w:val="false"/>
          <w:iCs w:val="false"/>
          <w:color w:val="5A6377"/>
          <w:sz w:val="18"/>
          <w:szCs w:val="18"/>
        </w:rPr>
        <w:t xml:space="preserve"> · thecommitteeroom.co.uk · governance support for UK charity boards. If you would like this tailored to your charity's actual activities and checked against everything else you have, that is what our Policy MOT (£79) does.</w:t>
      </w:r>
    </w:p>
    <w:sectPr>
      <w:pgSz w:w="11906" w:h="16838" w:orient="portrait"/>
      <w:pgMar w:top="1080" w:right="1200" w:bottom="1080" w:left="12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431" w:hanging="259"/>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232B3E"/>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2026-07-27T10:16:46.563Z</dcterms:created>
  <dcterms:modified xsi:type="dcterms:W3CDTF">2026-07-27T10:16:46.577Z</dcterms:modified>
</cp:coreProperties>
</file>

<file path=docProps/custom.xml><?xml version="1.0" encoding="utf-8"?>
<Properties xmlns="http://schemas.openxmlformats.org/officeDocument/2006/custom-properties" xmlns:vt="http://schemas.openxmlformats.org/officeDocument/2006/docPropsVTypes"/>
</file>