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i w:val="0"/>
          <w:color w:val="1C2A4E"/>
          <w:sz w:val="20"/>
        </w:rPr>
        <w:t>THE COMMITTEE ROOM   ·   GOVERNANCE TEMPLATE</w:t>
      </w:r>
    </w:p>
    <w:p>
      <w:pPr>
        <w:spacing w:after="80"/>
      </w:pPr>
      <w:r>
        <w:rPr>
          <w:rFonts w:ascii="Calibri" w:hAnsi="Calibri"/>
          <w:b/>
          <w:i w:val="0"/>
          <w:color w:val="1C2A4E"/>
          <w:sz w:val="40"/>
        </w:rPr>
        <w:t>Data protection policy</w:t>
      </w:r>
    </w:p>
    <w:p>
      <w:pPr>
        <w:spacing w:after="200"/>
      </w:pPr>
      <w:r>
        <w:rPr>
          <w:rFonts w:ascii="Calibri" w:hAnsi="Calibri"/>
          <w:b w:val="0"/>
          <w:i w:val="0"/>
          <w:color w:val="5A6377"/>
          <w:sz w:val="18"/>
        </w:rPr>
        <w:t>For: [charity name] · Registered charity no. [number, if registered] · Version [1] · [date]</w:t>
      </w:r>
    </w:p>
    <w:p>
      <w:pPr>
        <w:spacing w:after="280"/>
      </w:pPr>
      <w:r>
        <w:rPr>
          <w:rFonts w:ascii="Calibri" w:hAnsi="Calibri"/>
          <w:b/>
          <w:i w:val="0"/>
          <w:color w:val="232B3E"/>
          <w:sz w:val="20"/>
        </w:rPr>
        <w:t>How to use this template: replace everything in [square brackets], delete anything that does not apply to your charity, and take it to your board for adoption. It covers UK GDPR and the Data Protection Act 2018 at the level a small charity needs.</w:t>
      </w:r>
    </w:p>
    <w:p>
      <w:pPr>
        <w:spacing w:after="80"/>
      </w:pPr>
      <w:r>
        <w:rPr>
          <w:rFonts w:ascii="Calibri" w:hAnsi="Calibri"/>
          <w:b/>
          <w:i w:val="0"/>
          <w:color w:val="1C2A4E"/>
          <w:sz w:val="26"/>
        </w:rPr>
        <w:t>1. Why we have this policy</w:t>
      </w:r>
    </w:p>
    <w:p>
      <w:pPr>
        <w:spacing w:after="160"/>
      </w:pPr>
      <w:r>
        <w:rPr>
          <w:rFonts w:ascii="Calibri" w:hAnsi="Calibri"/>
          <w:b w:val="0"/>
          <w:i w:val="0"/>
          <w:color w:val="232B3E"/>
          <w:sz w:val="22"/>
        </w:rPr>
        <w:t>[Charity name] handles personal information about beneficiaries, members, donors, volunteers, staff and trustees. We are legally responsible for looking after it properly under the UK GDPR and the Data Protection Act 2018. This policy sets out what we hold, why, and how we keep it safe.</w:t>
      </w:r>
    </w:p>
    <w:p>
      <w:pPr>
        <w:spacing w:after="160"/>
      </w:pPr>
      <w:r>
        <w:rPr>
          <w:rFonts w:ascii="Calibri" w:hAnsi="Calibri"/>
          <w:b w:val="0"/>
          <w:i w:val="0"/>
          <w:color w:val="232B3E"/>
          <w:sz w:val="22"/>
        </w:rPr>
        <w:t>We are the data controller for this information. Our ICO registration number is [number, or: we have assessed that we are exempt from registration].</w:t>
      </w:r>
    </w:p>
    <w:p>
      <w:pPr>
        <w:spacing w:after="80"/>
      </w:pPr>
      <w:r>
        <w:rPr>
          <w:rFonts w:ascii="Calibri" w:hAnsi="Calibri"/>
          <w:b/>
          <w:i w:val="0"/>
          <w:color w:val="1C2A4E"/>
          <w:sz w:val="26"/>
        </w:rPr>
        <w:t>2. Who this policy applies to</w:t>
      </w:r>
    </w:p>
    <w:p>
      <w:pPr>
        <w:spacing w:after="160"/>
      </w:pPr>
      <w:r>
        <w:rPr>
          <w:rFonts w:ascii="Calibri" w:hAnsi="Calibri"/>
          <w:b w:val="0"/>
          <w:i w:val="0"/>
          <w:color w:val="232B3E"/>
          <w:sz w:val="22"/>
        </w:rPr>
        <w:t>All trustees, staff and volunteers of [charity name], and any contractor handling personal data on our behalf.</w:t>
      </w:r>
    </w:p>
    <w:p>
      <w:pPr>
        <w:spacing w:after="80"/>
      </w:pPr>
      <w:r>
        <w:rPr>
          <w:rFonts w:ascii="Calibri" w:hAnsi="Calibri"/>
          <w:b/>
          <w:i w:val="0"/>
          <w:color w:val="1C2A4E"/>
          <w:sz w:val="26"/>
        </w:rPr>
        <w:t>3. The principles we work to</w:t>
      </w:r>
    </w:p>
    <w:p>
      <w:pPr>
        <w:spacing w:after="160"/>
      </w:pPr>
      <w:r>
        <w:rPr>
          <w:rFonts w:ascii="Calibri" w:hAnsi="Calibri"/>
          <w:b w:val="0"/>
          <w:i w:val="0"/>
          <w:color w:val="232B3E"/>
          <w:sz w:val="22"/>
        </w:rPr>
        <w:t>We will handle personal data lawfully, fairly and transparently; collect it only for specified purposes; collect only what we need; keep it accurate and up to date; keep it no longer than necessary; and keep it secure. We are accountable for showing that we do this.</w:t>
      </w:r>
    </w:p>
    <w:p>
      <w:pPr>
        <w:spacing w:after="80"/>
      </w:pPr>
      <w:r>
        <w:rPr>
          <w:rFonts w:ascii="Calibri" w:hAnsi="Calibri"/>
          <w:b/>
          <w:i w:val="0"/>
          <w:color w:val="1C2A4E"/>
          <w:sz w:val="26"/>
        </w:rPr>
        <w:t>4. What we hold and why</w:t>
      </w:r>
    </w:p>
    <w:p>
      <w:pPr>
        <w:spacing w:after="160"/>
      </w:pPr>
      <w:r>
        <w:rPr>
          <w:rFonts w:ascii="Calibri" w:hAnsi="Calibri"/>
          <w:b w:val="0"/>
          <w:i w:val="0"/>
          <w:color w:val="232B3E"/>
          <w:sz w:val="22"/>
        </w:rPr>
        <w:t>Complete the table in Appendix A. As a minimum, most small charities should record each of the following: who the data is about, what the data is, why we hold it, our lawful basis, where it is stored, who can see it, and how long we keep it.</w:t>
      </w:r>
    </w:p>
    <w:p>
      <w:pPr>
        <w:spacing w:after="160"/>
      </w:pPr>
      <w:r>
        <w:rPr>
          <w:rFonts w:ascii="Calibri" w:hAnsi="Calibri"/>
          <w:b w:val="0"/>
          <w:i w:val="0"/>
          <w:color w:val="232B3E"/>
          <w:sz w:val="22"/>
        </w:rPr>
        <w:t>Our lawful bases are typically: consent (for example marketing emails), contract (for example employing someone), legal obligation (for example Gift Aid records), legitimate interests (for example administering membership), and, in limited cases, vital interests. Special category data — health, ethnicity, religion, sexual orientation, and similar — needs an additional condition, and we identify that condition before we collect it. Criminal offence data, including DBS results, is handled under a specific policy document as the law requires.</w:t>
      </w:r>
    </w:p>
    <w:p>
      <w:pPr>
        <w:spacing w:after="80"/>
      </w:pPr>
      <w:r>
        <w:rPr>
          <w:rFonts w:ascii="Calibri" w:hAnsi="Calibri"/>
          <w:b/>
          <w:i w:val="0"/>
          <w:color w:val="1C2A4E"/>
          <w:sz w:val="26"/>
        </w:rPr>
        <w:t>5. Consent and marketing</w:t>
      </w:r>
    </w:p>
    <w:p>
      <w:pPr>
        <w:pStyle w:val="ListParagraph"/>
        <w:spacing w:after="80"/>
      </w:pPr>
      <w:r>
        <w:rPr>
          <w:rFonts w:ascii="Calibri" w:hAnsi="Calibri"/>
          <w:b w:val="0"/>
          <w:i w:val="0"/>
          <w:color w:val="232B3E"/>
          <w:sz w:val="22"/>
        </w:rPr>
        <w:t>We never buy mailing lists.</w:t>
      </w:r>
    </w:p>
    <w:p>
      <w:pPr>
        <w:pStyle w:val="ListParagraph"/>
        <w:spacing w:after="80"/>
      </w:pPr>
      <w:r>
        <w:rPr>
          <w:rFonts w:ascii="Calibri" w:hAnsi="Calibri"/>
          <w:b w:val="0"/>
          <w:i w:val="0"/>
          <w:color w:val="232B3E"/>
          <w:sz w:val="22"/>
        </w:rPr>
        <w:t>People opt in; we do not use pre-ticked boxes, and we keep a record of when and how consent was given.</w:t>
      </w:r>
    </w:p>
    <w:p>
      <w:pPr>
        <w:pStyle w:val="ListParagraph"/>
        <w:spacing w:after="80"/>
      </w:pPr>
      <w:r>
        <w:rPr>
          <w:rFonts w:ascii="Calibri" w:hAnsi="Calibri"/>
          <w:b w:val="0"/>
          <w:i w:val="0"/>
          <w:color w:val="232B3E"/>
          <w:sz w:val="22"/>
        </w:rPr>
        <w:t>Every email we send includes a clear way to unsubscribe, and we act on unsubscribes promptly.</w:t>
      </w:r>
    </w:p>
    <w:p>
      <w:pPr>
        <w:pStyle w:val="ListParagraph"/>
        <w:spacing w:after="80"/>
      </w:pPr>
      <w:r>
        <w:rPr>
          <w:rFonts w:ascii="Calibri" w:hAnsi="Calibri"/>
          <w:b w:val="0"/>
          <w:i w:val="0"/>
          <w:color w:val="232B3E"/>
          <w:sz w:val="22"/>
        </w:rPr>
        <w:t>Consent is not the right basis for everything. Where we rely on legitimate interests instead, we have recorded the balancing test.</w:t>
      </w:r>
    </w:p>
    <w:p>
      <w:pPr>
        <w:spacing w:after="80"/>
      </w:pPr>
      <w:r>
        <w:rPr>
          <w:rFonts w:ascii="Calibri" w:hAnsi="Calibri"/>
          <w:b/>
          <w:i w:val="0"/>
          <w:color w:val="1C2A4E"/>
          <w:sz w:val="26"/>
        </w:rPr>
        <w:t>6. People’s rights</w:t>
      </w:r>
    </w:p>
    <w:p>
      <w:pPr>
        <w:spacing w:after="160"/>
      </w:pPr>
      <w:r>
        <w:rPr>
          <w:rFonts w:ascii="Calibri" w:hAnsi="Calibri"/>
          <w:b w:val="0"/>
          <w:i w:val="0"/>
          <w:color w:val="232B3E"/>
          <w:sz w:val="22"/>
        </w:rPr>
        <w:t>Anyone whose data we hold can ask to see it, correct it, delete it, restrict or object to how we use it, or receive it in a portable form. They can withdraw consent at any time.</w:t>
      </w:r>
    </w:p>
    <w:p>
      <w:pPr>
        <w:pStyle w:val="ListParagraph"/>
        <w:spacing w:after="80"/>
      </w:pPr>
      <w:r>
        <w:rPr>
          <w:rFonts w:ascii="Calibri" w:hAnsi="Calibri"/>
          <w:b w:val="0"/>
          <w:i w:val="0"/>
          <w:color w:val="232B3E"/>
          <w:sz w:val="22"/>
        </w:rPr>
        <w:t>Requests go to [role, e.g. the secretary] at [email].</w:t>
      </w:r>
    </w:p>
    <w:p>
      <w:pPr>
        <w:pStyle w:val="ListParagraph"/>
        <w:spacing w:after="80"/>
      </w:pPr>
      <w:r>
        <w:rPr>
          <w:rFonts w:ascii="Calibri" w:hAnsi="Calibri"/>
          <w:b w:val="0"/>
          <w:i w:val="0"/>
          <w:color w:val="232B3E"/>
          <w:sz w:val="22"/>
        </w:rPr>
        <w:t>We respond within one month. If the request is complex we may extend, and we tell the person why within the first month.</w:t>
      </w:r>
    </w:p>
    <w:p>
      <w:pPr>
        <w:pStyle w:val="ListParagraph"/>
        <w:spacing w:after="80"/>
      </w:pPr>
      <w:r>
        <w:rPr>
          <w:rFonts w:ascii="Calibri" w:hAnsi="Calibri"/>
          <w:b w:val="0"/>
          <w:i w:val="0"/>
          <w:color w:val="232B3E"/>
          <w:sz w:val="22"/>
        </w:rPr>
        <w:t>We do not charge a fee except where a request is manifestly unfounded or excessive.</w:t>
      </w:r>
    </w:p>
    <w:p>
      <w:pPr>
        <w:pStyle w:val="ListParagraph"/>
        <w:spacing w:after="80"/>
      </w:pPr>
      <w:r>
        <w:rPr>
          <w:rFonts w:ascii="Calibri" w:hAnsi="Calibri"/>
          <w:b w:val="0"/>
          <w:i w:val="0"/>
          <w:color w:val="232B3E"/>
          <w:sz w:val="22"/>
        </w:rPr>
        <w:t>We verify identity before releasing anything, and we do not disclose information about third parties.</w:t>
      </w:r>
    </w:p>
    <w:p>
      <w:pPr>
        <w:spacing w:after="160"/>
      </w:pPr>
      <w:r>
        <w:rPr>
          <w:rFonts w:ascii="Calibri" w:hAnsi="Calibri"/>
          <w:b w:val="0"/>
          <w:i w:val="0"/>
          <w:color w:val="232B3E"/>
          <w:sz w:val="22"/>
        </w:rPr>
        <w:t>We also tell people, at the point we collect their data, who we are, what we will do with it, how long we will keep it, and that they can complain to us and then to the Information Commissioner’s Office. People can complain to us directly, and we will deal with complaints about how we handle data under this policy rather than sending them straight to the ICO.</w:t>
      </w:r>
    </w:p>
    <w:p>
      <w:pPr>
        <w:spacing w:after="80"/>
      </w:pPr>
      <w:r>
        <w:rPr>
          <w:rFonts w:ascii="Calibri" w:hAnsi="Calibri"/>
          <w:b/>
          <w:i w:val="0"/>
          <w:color w:val="1C2A4E"/>
          <w:sz w:val="26"/>
        </w:rPr>
        <w:t>7. Keeping data secure</w:t>
      </w:r>
    </w:p>
    <w:p>
      <w:pPr>
        <w:pStyle w:val="ListParagraph"/>
        <w:spacing w:after="80"/>
      </w:pPr>
      <w:r>
        <w:rPr>
          <w:rFonts w:ascii="Calibri" w:hAnsi="Calibri"/>
          <w:b w:val="0"/>
          <w:i w:val="0"/>
          <w:color w:val="232B3E"/>
          <w:sz w:val="22"/>
        </w:rPr>
        <w:t>Access is limited to those who need it for their role.</w:t>
      </w:r>
    </w:p>
    <w:p>
      <w:pPr>
        <w:pStyle w:val="ListParagraph"/>
        <w:spacing w:after="80"/>
      </w:pPr>
      <w:r>
        <w:rPr>
          <w:rFonts w:ascii="Calibri" w:hAnsi="Calibri"/>
          <w:b w:val="0"/>
          <w:i w:val="0"/>
          <w:color w:val="232B3E"/>
          <w:sz w:val="22"/>
        </w:rPr>
        <w:t>Devices used for charity data are password-protected and kept up to date; shared accounts are avoided.</w:t>
      </w:r>
    </w:p>
    <w:p>
      <w:pPr>
        <w:pStyle w:val="ListParagraph"/>
        <w:spacing w:after="80"/>
      </w:pPr>
      <w:r>
        <w:rPr>
          <w:rFonts w:ascii="Calibri" w:hAnsi="Calibri"/>
          <w:b w:val="0"/>
          <w:i w:val="0"/>
          <w:color w:val="232B3E"/>
          <w:sz w:val="22"/>
        </w:rPr>
        <w:t>Paper records containing personal data are locked away, not left in cars or at home on kitchen tables.</w:t>
      </w:r>
    </w:p>
    <w:p>
      <w:pPr>
        <w:pStyle w:val="ListParagraph"/>
        <w:spacing w:after="80"/>
      </w:pPr>
      <w:r>
        <w:rPr>
          <w:rFonts w:ascii="Calibri" w:hAnsi="Calibri"/>
          <w:b w:val="0"/>
          <w:i w:val="0"/>
          <w:color w:val="232B3E"/>
          <w:sz w:val="22"/>
        </w:rPr>
        <w:t>We use [named systems] for charity data; trustees do not keep charity data in personal email or personal cloud accounts.</w:t>
      </w:r>
    </w:p>
    <w:p>
      <w:pPr>
        <w:pStyle w:val="ListParagraph"/>
        <w:spacing w:after="80"/>
      </w:pPr>
      <w:r>
        <w:rPr>
          <w:rFonts w:ascii="Calibri" w:hAnsi="Calibri"/>
          <w:b w:val="0"/>
          <w:i w:val="0"/>
          <w:color w:val="232B3E"/>
          <w:sz w:val="22"/>
        </w:rPr>
        <w:t>We use blind copy (Bcc) when emailing groups, so addresses are not disclosed to everyone.</w:t>
      </w:r>
    </w:p>
    <w:p>
      <w:pPr>
        <w:pStyle w:val="ListParagraph"/>
        <w:spacing w:after="80"/>
      </w:pPr>
      <w:r>
        <w:rPr>
          <w:rFonts w:ascii="Calibri" w:hAnsi="Calibri"/>
          <w:b w:val="0"/>
          <w:i w:val="0"/>
          <w:color w:val="232B3E"/>
          <w:sz w:val="22"/>
        </w:rPr>
        <w:t>When someone leaves a role, their access is removed and any charity data on personal devices is deleted.</w:t>
      </w:r>
    </w:p>
    <w:p>
      <w:pPr>
        <w:spacing w:after="80"/>
      </w:pPr>
      <w:r>
        <w:rPr>
          <w:rFonts w:ascii="Calibri" w:hAnsi="Calibri"/>
          <w:b/>
          <w:i w:val="0"/>
          <w:color w:val="1C2A4E"/>
          <w:sz w:val="26"/>
        </w:rPr>
        <w:t>8. Sharing data, and suppliers</w:t>
      </w:r>
    </w:p>
    <w:p>
      <w:pPr>
        <w:spacing w:after="160"/>
      </w:pPr>
      <w:r>
        <w:rPr>
          <w:rFonts w:ascii="Calibri" w:hAnsi="Calibri"/>
          <w:b w:val="0"/>
          <w:i w:val="0"/>
          <w:color w:val="232B3E"/>
          <w:sz w:val="22"/>
        </w:rPr>
        <w:t>We share personal data only where we have a lawful basis, and we record what we shared and why. Where a supplier processes data for us — a cloud provider, a mailing tool, a payroll bureau — we have a written agreement with them that meets the UK GDPR requirements, and we satisfy ourselves that they keep it secure. Where data is transferred outside the UK, we check that an appropriate safeguard is in place.</w:t>
      </w:r>
    </w:p>
    <w:p>
      <w:pPr>
        <w:spacing w:after="80"/>
      </w:pPr>
      <w:r>
        <w:rPr>
          <w:rFonts w:ascii="Calibri" w:hAnsi="Calibri"/>
          <w:b/>
          <w:i w:val="0"/>
          <w:color w:val="1C2A4E"/>
          <w:sz w:val="26"/>
        </w:rPr>
        <w:t>9. How long we keep things</w:t>
      </w:r>
    </w:p>
    <w:p>
      <w:pPr>
        <w:spacing w:after="160"/>
      </w:pPr>
      <w:r>
        <w:rPr>
          <w:rFonts w:ascii="Calibri" w:hAnsi="Calibri"/>
          <w:b w:val="0"/>
          <w:i w:val="0"/>
          <w:color w:val="232B3E"/>
          <w:sz w:val="22"/>
        </w:rPr>
        <w:t>We keep personal data only as long as we need it, in line with our retention schedule. Records with a statutory retention period — for example Gift Aid declarations, payroll and safeguarding records — are kept for the period the law requires. Everything else is reviewed and deleted when it is no longer needed.</w:t>
      </w:r>
    </w:p>
    <w:p>
      <w:pPr>
        <w:spacing w:after="80"/>
      </w:pPr>
      <w:r>
        <w:rPr>
          <w:rFonts w:ascii="Calibri" w:hAnsi="Calibri"/>
          <w:b/>
          <w:i w:val="0"/>
          <w:color w:val="1C2A4E"/>
          <w:sz w:val="26"/>
        </w:rPr>
        <w:t>10. Data breaches</w:t>
      </w:r>
    </w:p>
    <w:p>
      <w:pPr>
        <w:spacing w:after="160"/>
      </w:pPr>
      <w:r>
        <w:rPr>
          <w:rFonts w:ascii="Calibri" w:hAnsi="Calibri"/>
          <w:b w:val="0"/>
          <w:i w:val="0"/>
          <w:color w:val="232B3E"/>
          <w:sz w:val="22"/>
        </w:rPr>
        <w:t>A personal data breach is any accidental or unlawful loss, disclosure, alteration or destruction of personal data. That includes an email sent to the wrong person or a lost memory stick, not only a cyber attack.</w:t>
      </w:r>
    </w:p>
    <w:p>
      <w:pPr>
        <w:pStyle w:val="ListParagraph"/>
        <w:spacing w:after="80"/>
      </w:pPr>
      <w:r>
        <w:rPr>
          <w:rFonts w:ascii="Calibri" w:hAnsi="Calibri"/>
          <w:b w:val="0"/>
          <w:i w:val="0"/>
          <w:color w:val="232B3E"/>
          <w:sz w:val="22"/>
        </w:rPr>
        <w:t>Report any suspected breach to [role] immediately, the same day.</w:t>
      </w:r>
    </w:p>
    <w:p>
      <w:pPr>
        <w:pStyle w:val="ListParagraph"/>
        <w:spacing w:after="80"/>
      </w:pPr>
      <w:r>
        <w:rPr>
          <w:rFonts w:ascii="Calibri" w:hAnsi="Calibri"/>
          <w:b w:val="0"/>
          <w:i w:val="0"/>
          <w:color w:val="232B3E"/>
          <w:sz w:val="22"/>
        </w:rPr>
        <w:t>We record every breach in the breach log at Appendix B, whether or not it is reportable.</w:t>
      </w:r>
    </w:p>
    <w:p>
      <w:pPr>
        <w:pStyle w:val="ListParagraph"/>
        <w:spacing w:after="80"/>
      </w:pPr>
      <w:r>
        <w:rPr>
          <w:rFonts w:ascii="Calibri" w:hAnsi="Calibri"/>
          <w:b w:val="0"/>
          <w:i w:val="0"/>
          <w:color w:val="232B3E"/>
          <w:sz w:val="22"/>
        </w:rPr>
        <w:t>Where a breach is likely to result in a risk to people’s rights and freedoms, we report it to the ICO within 72 hours of becoming aware of it.</w:t>
      </w:r>
    </w:p>
    <w:p>
      <w:pPr>
        <w:pStyle w:val="ListParagraph"/>
        <w:spacing w:after="80"/>
      </w:pPr>
      <w:r>
        <w:rPr>
          <w:rFonts w:ascii="Calibri" w:hAnsi="Calibri"/>
          <w:b w:val="0"/>
          <w:i w:val="0"/>
          <w:color w:val="232B3E"/>
          <w:sz w:val="22"/>
        </w:rPr>
        <w:t>Where the risk is high, we tell the affected people without undue delay, in plain language.</w:t>
      </w:r>
    </w:p>
    <w:p>
      <w:pPr>
        <w:pStyle w:val="ListParagraph"/>
        <w:spacing w:after="80"/>
      </w:pPr>
      <w:r>
        <w:rPr>
          <w:rFonts w:ascii="Calibri" w:hAnsi="Calibri"/>
          <w:b w:val="0"/>
          <w:i w:val="0"/>
          <w:color w:val="232B3E"/>
          <w:sz w:val="22"/>
        </w:rPr>
        <w:t>A significant breach may also be a serious incident to report to the charity regulator.</w:t>
      </w:r>
    </w:p>
    <w:p>
      <w:pPr>
        <w:spacing w:after="80"/>
      </w:pPr>
      <w:r>
        <w:rPr>
          <w:rFonts w:ascii="Calibri" w:hAnsi="Calibri"/>
          <w:b/>
          <w:i w:val="0"/>
          <w:color w:val="1C2A4E"/>
          <w:sz w:val="26"/>
        </w:rPr>
        <w:t>11. Responsibility and training</w:t>
      </w:r>
    </w:p>
    <w:p>
      <w:pPr>
        <w:spacing w:after="160"/>
      </w:pPr>
      <w:r>
        <w:rPr>
          <w:rFonts w:ascii="Calibri" w:hAnsi="Calibri"/>
          <w:b w:val="0"/>
          <w:i w:val="0"/>
          <w:color w:val="232B3E"/>
          <w:sz w:val="22"/>
        </w:rPr>
        <w:t>The trustees are responsible for data protection in this charity. Day-to-day responsibility sits with [role]. [We have appointed a Data Protection Officer: name — delete if not required; most small charities are not required to appoint one.] All trustees, staff and volunteers handling personal data receive basic data protection training on induction and a refresher every [two] years.</w:t>
      </w:r>
    </w:p>
    <w:p>
      <w:pPr>
        <w:spacing w:after="80"/>
      </w:pPr>
      <w:r>
        <w:rPr>
          <w:rFonts w:ascii="Calibri" w:hAnsi="Calibri"/>
          <w:b/>
          <w:i w:val="0"/>
          <w:color w:val="1C2A4E"/>
          <w:sz w:val="26"/>
        </w:rPr>
        <w:t>Adoption and review</w:t>
      </w:r>
    </w:p>
    <w:p>
      <w:pPr>
        <w:spacing w:after="160"/>
      </w:pPr>
      <w:r>
        <w:rPr>
          <w:rFonts w:ascii="Calibri" w:hAnsi="Calibri"/>
          <w:b w:val="0"/>
          <w:i w:val="0"/>
          <w:color w:val="232B3E"/>
          <w:sz w:val="22"/>
        </w:rPr>
        <w:t>Adopted by the trustees of [charity name] on [date].</w:t>
      </w:r>
    </w:p>
    <w:p>
      <w:pPr>
        <w:spacing w:after="160"/>
      </w:pPr>
      <w:r>
        <w:rPr>
          <w:rFonts w:ascii="Calibri" w:hAnsi="Calibri"/>
          <w:b w:val="0"/>
          <w:i w:val="0"/>
          <w:color w:val="232B3E"/>
          <w:sz w:val="22"/>
        </w:rPr>
        <w:t>Next review due: [date — we suggest yearly]. Responsibility for keeping this policy up to date: [role, e.g. the secretary].</w:t>
      </w:r>
    </w:p>
    <w:p>
      <w:pPr>
        <w:spacing w:after="280"/>
      </w:pPr>
      <w:r>
        <w:rPr>
          <w:rFonts w:ascii="Calibri" w:hAnsi="Calibri"/>
          <w:b w:val="0"/>
          <w:i w:val="0"/>
          <w:color w:val="232B3E"/>
          <w:sz w:val="22"/>
        </w:rPr>
        <w:t>Signed (chair): ______________________________          Date: ________________</w:t>
      </w:r>
    </w:p>
    <w:p>
      <w:pPr>
        <w:spacing w:after="80"/>
      </w:pPr>
      <w:r>
        <w:rPr>
          <w:rFonts w:ascii="Calibri" w:hAnsi="Calibri"/>
          <w:b/>
          <w:i w:val="0"/>
          <w:color w:val="1C2A4E"/>
          <w:sz w:val="26"/>
        </w:rPr>
        <w:t>Appendix A — What we hold (information asset register)</w:t>
      </w:r>
    </w:p>
    <w:p>
      <w:pPr>
        <w:spacing w:after="160"/>
      </w:pPr>
      <w:r>
        <w:rPr>
          <w:rFonts w:ascii="Calibri" w:hAnsi="Calibri"/>
          <w:b w:val="0"/>
          <w:i w:val="0"/>
          <w:color w:val="232B3E"/>
          <w:sz w:val="22"/>
        </w:rPr>
        <w:t>One row per type of record. This is the single most useful thing in this document: if you fill in nothing else, fill in this.</w:t>
      </w:r>
    </w:p>
    <w:tbl>
      <w:tblPr>
        <w:tblStyle w:val="TableGrid"/>
        <w:tblW w:type="auto" w:w="0"/>
        <w:tblLook w:firstColumn="1" w:firstRow="1" w:lastColumn="0" w:lastRow="0" w:noHBand="0" w:noVBand="1" w:val="04A0"/>
      </w:tblPr>
      <w:tblGrid>
        <w:gridCol w:w="1640"/>
        <w:gridCol w:w="1640"/>
        <w:gridCol w:w="1640"/>
        <w:gridCol w:w="1640"/>
        <w:gridCol w:w="1640"/>
        <w:gridCol w:w="1640"/>
      </w:tblGrid>
      <w:tr>
        <w:tc>
          <w:tcPr>
            <w:tcW w:type="dxa" w:w="1640"/>
          </w:tcPr>
          <w:p>
            <w:r/>
            <w:r>
              <w:rPr>
                <w:rFonts w:ascii="Calibri" w:hAnsi="Calibri"/>
                <w:b/>
                <w:sz w:val="18"/>
              </w:rPr>
              <w:t>Who it is about</w:t>
            </w:r>
          </w:p>
        </w:tc>
        <w:tc>
          <w:tcPr>
            <w:tcW w:type="dxa" w:w="1640"/>
          </w:tcPr>
          <w:p>
            <w:r/>
            <w:r>
              <w:rPr>
                <w:rFonts w:ascii="Calibri" w:hAnsi="Calibri"/>
                <w:b/>
                <w:sz w:val="18"/>
              </w:rPr>
              <w:t>What we hold</w:t>
            </w:r>
          </w:p>
        </w:tc>
        <w:tc>
          <w:tcPr>
            <w:tcW w:type="dxa" w:w="1640"/>
          </w:tcPr>
          <w:p>
            <w:r/>
            <w:r>
              <w:rPr>
                <w:rFonts w:ascii="Calibri" w:hAnsi="Calibri"/>
                <w:b/>
                <w:sz w:val="18"/>
              </w:rPr>
              <w:t>Why / purpose</w:t>
            </w:r>
          </w:p>
        </w:tc>
        <w:tc>
          <w:tcPr>
            <w:tcW w:type="dxa" w:w="1640"/>
          </w:tcPr>
          <w:p>
            <w:r/>
            <w:r>
              <w:rPr>
                <w:rFonts w:ascii="Calibri" w:hAnsi="Calibri"/>
                <w:b/>
                <w:sz w:val="18"/>
              </w:rPr>
              <w:t>Lawful basis</w:t>
            </w:r>
          </w:p>
        </w:tc>
        <w:tc>
          <w:tcPr>
            <w:tcW w:type="dxa" w:w="1640"/>
          </w:tcPr>
          <w:p>
            <w:r/>
            <w:r>
              <w:rPr>
                <w:rFonts w:ascii="Calibri" w:hAnsi="Calibri"/>
                <w:b/>
                <w:sz w:val="18"/>
              </w:rPr>
              <w:t>Where it is kept</w:t>
            </w:r>
          </w:p>
        </w:tc>
        <w:tc>
          <w:tcPr>
            <w:tcW w:type="dxa" w:w="1640"/>
          </w:tcPr>
          <w:p>
            <w:r/>
            <w:r>
              <w:rPr>
                <w:rFonts w:ascii="Calibri" w:hAnsi="Calibri"/>
                <w:b/>
                <w:sz w:val="18"/>
              </w:rPr>
              <w:t>How long we keep it</w:t>
            </w:r>
          </w:p>
        </w:tc>
      </w:tr>
      <w:tr>
        <w:tc>
          <w:tcPr>
            <w:tcW w:type="dxa" w:w="1640"/>
          </w:tcPr>
          <w:p>
            <w:r/>
            <w:r>
              <w:rPr>
                <w:rFonts w:ascii="Calibri" w:hAnsi="Calibri"/>
                <w:sz w:val="18"/>
              </w:rPr>
              <w:t>Donors</w:t>
            </w:r>
          </w:p>
        </w:tc>
        <w:tc>
          <w:tcPr>
            <w:tcW w:type="dxa" w:w="1640"/>
          </w:tcPr>
          <w:p>
            <w:r/>
            <w:r>
              <w:rPr>
                <w:rFonts w:ascii="Calibri" w:hAnsi="Calibri"/>
                <w:sz w:val="18"/>
              </w:rPr>
              <w:t>Name, address, email, donation history, Gift Aid declaration</w:t>
            </w:r>
          </w:p>
        </w:tc>
        <w:tc>
          <w:tcPr>
            <w:tcW w:type="dxa" w:w="1640"/>
          </w:tcPr>
          <w:p>
            <w:r/>
            <w:r>
              <w:rPr>
                <w:rFonts w:ascii="Calibri" w:hAnsi="Calibri"/>
                <w:sz w:val="18"/>
              </w:rPr>
              <w:t>Processing donations and claiming Gift Aid</w:t>
            </w:r>
          </w:p>
        </w:tc>
        <w:tc>
          <w:tcPr>
            <w:tcW w:type="dxa" w:w="1640"/>
          </w:tcPr>
          <w:p>
            <w:r/>
            <w:r>
              <w:rPr>
                <w:rFonts w:ascii="Calibri" w:hAnsi="Calibri"/>
                <w:sz w:val="18"/>
              </w:rPr>
              <w:t>Legal obligation (Gift Aid); legitimate interests</w:t>
            </w:r>
          </w:p>
        </w:tc>
        <w:tc>
          <w:tcPr>
            <w:tcW w:type="dxa" w:w="1640"/>
          </w:tcPr>
          <w:p>
            <w:r/>
            <w:r>
              <w:rPr>
                <w:rFonts w:ascii="Calibri" w:hAnsi="Calibri"/>
                <w:sz w:val="18"/>
              </w:rPr>
              <w:t>[system]</w:t>
            </w:r>
          </w:p>
        </w:tc>
        <w:tc>
          <w:tcPr>
            <w:tcW w:type="dxa" w:w="1640"/>
          </w:tcPr>
          <w:p>
            <w:r/>
            <w:r>
              <w:rPr>
                <w:rFonts w:ascii="Calibri" w:hAnsi="Calibri"/>
                <w:sz w:val="18"/>
              </w:rPr>
              <w:t>6 years after last donation; Gift Aid records per HMRC</w:t>
            </w:r>
          </w:p>
        </w:tc>
      </w:tr>
      <w:tr>
        <w:tc>
          <w:tcPr>
            <w:tcW w:type="dxa" w:w="1640"/>
          </w:tcPr>
          <w:p>
            <w:r/>
            <w:r>
              <w:rPr>
                <w:rFonts w:ascii="Calibri" w:hAnsi="Calibri"/>
                <w:sz w:val="18"/>
              </w:rPr>
              <w:t>[Beneficiaries]</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r>
      <w:tr>
        <w:tc>
          <w:tcPr>
            <w:tcW w:type="dxa" w:w="1640"/>
          </w:tcPr>
          <w:p>
            <w:r/>
            <w:r>
              <w:rPr>
                <w:rFonts w:ascii="Calibri" w:hAnsi="Calibri"/>
                <w:sz w:val="18"/>
              </w:rPr>
              <w:t>[Volunteers]</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r>
    </w:tbl>
    <w:p>
      <w:pPr>
        <w:spacing w:after="160"/>
      </w:pPr>
      <w:r>
        <w:rPr>
          <w:rFonts w:ascii="Calibri" w:hAnsi="Calibri"/>
          <w:b w:val="0"/>
          <w:i w:val="0"/>
          <w:color w:val="232B3E"/>
          <w:sz w:val="22"/>
        </w:rPr>
      </w:r>
    </w:p>
    <w:p>
      <w:pPr>
        <w:spacing w:after="80"/>
      </w:pPr>
      <w:r>
        <w:rPr>
          <w:rFonts w:ascii="Calibri" w:hAnsi="Calibri"/>
          <w:b/>
          <w:i w:val="0"/>
          <w:color w:val="1C2A4E"/>
          <w:sz w:val="26"/>
        </w:rPr>
        <w:t>Appendix B — Breach log</w:t>
      </w:r>
    </w:p>
    <w:tbl>
      <w:tblPr>
        <w:tblStyle w:val="TableGrid"/>
        <w:tblW w:type="auto" w:w="0"/>
        <w:tblLook w:firstColumn="1" w:firstRow="1" w:lastColumn="0" w:lastRow="0" w:noHBand="0" w:noVBand="1" w:val="04A0"/>
      </w:tblPr>
      <w:tblGrid>
        <w:gridCol w:w="1640"/>
        <w:gridCol w:w="1640"/>
        <w:gridCol w:w="1640"/>
        <w:gridCol w:w="1640"/>
        <w:gridCol w:w="1640"/>
        <w:gridCol w:w="1640"/>
      </w:tblGrid>
      <w:tr>
        <w:tc>
          <w:tcPr>
            <w:tcW w:type="dxa" w:w="1640"/>
          </w:tcPr>
          <w:p>
            <w:r/>
            <w:r>
              <w:rPr>
                <w:rFonts w:ascii="Calibri" w:hAnsi="Calibri"/>
                <w:b/>
                <w:sz w:val="18"/>
              </w:rPr>
              <w:t>Date found</w:t>
            </w:r>
          </w:p>
        </w:tc>
        <w:tc>
          <w:tcPr>
            <w:tcW w:type="dxa" w:w="1640"/>
          </w:tcPr>
          <w:p>
            <w:r/>
            <w:r>
              <w:rPr>
                <w:rFonts w:ascii="Calibri" w:hAnsi="Calibri"/>
                <w:b/>
                <w:sz w:val="18"/>
              </w:rPr>
              <w:t>What happened</w:t>
            </w:r>
          </w:p>
        </w:tc>
        <w:tc>
          <w:tcPr>
            <w:tcW w:type="dxa" w:w="1640"/>
          </w:tcPr>
          <w:p>
            <w:r/>
            <w:r>
              <w:rPr>
                <w:rFonts w:ascii="Calibri" w:hAnsi="Calibri"/>
                <w:b/>
                <w:sz w:val="18"/>
              </w:rPr>
              <w:t>Data and people affected</w:t>
            </w:r>
          </w:p>
        </w:tc>
        <w:tc>
          <w:tcPr>
            <w:tcW w:type="dxa" w:w="1640"/>
          </w:tcPr>
          <w:p>
            <w:r/>
            <w:r>
              <w:rPr>
                <w:rFonts w:ascii="Calibri" w:hAnsi="Calibri"/>
                <w:b/>
                <w:sz w:val="18"/>
              </w:rPr>
              <w:t>Risk assessment</w:t>
            </w:r>
          </w:p>
        </w:tc>
        <w:tc>
          <w:tcPr>
            <w:tcW w:type="dxa" w:w="1640"/>
          </w:tcPr>
          <w:p>
            <w:r/>
            <w:r>
              <w:rPr>
                <w:rFonts w:ascii="Calibri" w:hAnsi="Calibri"/>
                <w:b/>
                <w:sz w:val="18"/>
              </w:rPr>
              <w:t>Reported to ICO? (date)</w:t>
            </w:r>
          </w:p>
        </w:tc>
        <w:tc>
          <w:tcPr>
            <w:tcW w:type="dxa" w:w="1640"/>
          </w:tcPr>
          <w:p>
            <w:r/>
            <w:r>
              <w:rPr>
                <w:rFonts w:ascii="Calibri" w:hAnsi="Calibri"/>
                <w:b/>
                <w:sz w:val="18"/>
              </w:rPr>
              <w:t>Action taken / lessons</w:t>
            </w:r>
          </w:p>
        </w:tc>
      </w:tr>
      <w:tr>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r>
      <w:tr>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r>
      <w:tr>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c>
          <w:tcPr>
            <w:tcW w:type="dxa" w:w="1640"/>
          </w:tcPr>
          <w:p>
            <w:r/>
            <w:r>
              <w:rPr>
                <w:rFonts w:ascii="Calibri" w:hAnsi="Calibri"/>
                <w:sz w:val="18"/>
              </w:rPr>
              <w:t>[   ]</w:t>
            </w:r>
          </w:p>
        </w:tc>
      </w:tr>
    </w:tbl>
    <w:p>
      <w:pPr>
        <w:spacing w:after="160"/>
      </w:pPr>
      <w:r>
        <w:rPr>
          <w:rFonts w:ascii="Calibri" w:hAnsi="Calibri"/>
          <w:b w:val="0"/>
          <w:i w:val="0"/>
          <w:color w:val="232B3E"/>
          <w:sz w:val="22"/>
        </w:rPr>
      </w:r>
    </w:p>
    <w:p>
      <w:pPr>
        <w:spacing w:after="160"/>
      </w:pPr>
      <w:r>
        <w:rPr>
          <w:rFonts w:ascii="Calibri" w:hAnsi="Calibri"/>
          <w:b w:val="0"/>
          <w:i w:val="0"/>
          <w:color w:val="5A6377"/>
          <w:sz w:val="16"/>
        </w:rPr>
        <w:t>This template is general governance guidance, not legal advice, and data protection duties depend on what your charity actually does with personal data. Charities handling large volumes of data, special category data or children’s data should take specialist advice. The ICO publishes free guidance and a self-assessment tool for small organisations. Last reviewed October 2026.</w:t>
      </w:r>
    </w:p>
    <w:p>
      <w:pPr>
        <w:spacing w:after="0"/>
      </w:pPr>
      <w:r>
        <w:rPr>
          <w:rFonts w:ascii="Calibri" w:hAnsi="Calibri"/>
          <w:b w:val="0"/>
          <w:i w:val="0"/>
          <w:color w:val="5A6377"/>
          <w:sz w:val="16"/>
        </w:rPr>
        <w:t>The Committee Room · Governance support for UK charity boards &amp; committees · hello@thecommitteeroom.co.uk</w:t>
      </w:r>
    </w:p>
    <w:sectPr w:rsidR="00FC693F" w:rsidRPr="0006063C" w:rsidSect="00034616">
      <w:pgSz w:w="12240" w:h="15840"/>
      <w:pgMar w:top="1080" w:right="1200" w:bottom="108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