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324F"/>
          <w:spacing w:val="40"/>
          <w:sz w:val="16"/>
          <w:szCs w:val="16"/>
        </w:rPr>
        <w:t xml:space="preserve">THE COMMITTEE ROOM</w:t>
      </w:r>
    </w:p>
    <w:p>
      <w:pPr>
        <w:spacing w:after="60"/>
      </w:pPr>
      <w:r>
        <w:rPr>
          <w:b/>
          <w:bCs/>
          <w:color w:val="2F7D78"/>
          <w:spacing w:val="30"/>
          <w:sz w:val="16"/>
          <w:szCs w:val="16"/>
        </w:rPr>
        <w:t xml:space="preserve">GOVERNANCE GUIDE</w:t>
      </w:r>
    </w:p>
    <w:p>
      <w:pPr>
        <w:pBdr>
          <w:bottom w:val="single" w:color="D9E0E6" w:sz="6" w:space="8"/>
        </w:pBdr>
        <w:spacing w:after="120"/>
        <w:outlineLvl w:val="0"/>
      </w:pPr>
      <w:r>
        <w:rPr>
          <w:b/>
          <w:bCs/>
          <w:color w:val="16324F"/>
          <w:sz w:val="40"/>
          <w:szCs w:val="40"/>
        </w:rPr>
        <w:t xml:space="preserve">The policies every small charity should consider</w:t>
      </w:r>
    </w:p>
    <w:p>
      <w:pPr>
        <w:spacing w:after="200" w:line="300"/>
      </w:pPr>
      <w:r>
        <w:rPr>
          <w:color w:val="24303A"/>
          <w:sz w:val="23"/>
          <w:szCs w:val="23"/>
        </w:rPr>
        <w:t xml:space="preserve">You do not need a filing cabinet full of policies to run a small charity well. But a handful of core policies and arrangements are genuinely worth having — they protect people, guide decisions, and show funders and regulators that your charity is well run.</w:t>
      </w:r>
    </w:p>
    <w:p>
      <w:pPr>
        <w:spacing w:after="100" w:before="260"/>
        <w:outlineLvl w:val="1"/>
      </w:pPr>
      <w:r>
        <w:rPr>
          <w:b/>
          <w:bCs/>
          <w:color w:val="16324F"/>
          <w:sz w:val="28"/>
          <w:szCs w:val="28"/>
        </w:rPr>
        <w:t xml:space="preserve">Why policies matter (and why they are not just bureaucracy)</w:t>
      </w:r>
    </w:p>
    <w:p>
      <w:pPr>
        <w:spacing w:after="160" w:line="276"/>
      </w:pPr>
      <w:r>
        <w:rPr>
          <w:color w:val="24303A"/>
          <w:sz w:val="22"/>
          <w:szCs w:val="22"/>
        </w:rPr>
        <w:t xml:space="preserve">A good policy is not paperwork for its own sake. It sets out, in advance, how your charity will handle something that matters — so that decisions are consistent, people are protected, and trustees are not making it up under pressure. Policies also provide evidence of good governance: many funders now ask to see specific policies before they will award a grant, and having them in place is a mark of a board that takes its responsibilities seriously.</w:t>
      </w:r>
    </w:p>
    <w:p>
      <w:pPr>
        <w:spacing w:after="160" w:line="276"/>
      </w:pPr>
      <w:r>
        <w:rPr>
          <w:color w:val="24303A"/>
          <w:sz w:val="22"/>
          <w:szCs w:val="22"/>
        </w:rPr>
        <w:t xml:space="preserve">The important thing is to be proportionate. Not every policy below is a legal requirement for every charity — the right set depends on your activities, people, premises and risks. But regulators and funders expect charities to have proportionate arrangements in the areas that apply to them. Aim for a small set of clear, genuinely used policies rather than a thick folder no one reads.</w:t>
      </w:r>
    </w:p>
    <w:p>
      <w:pPr>
        <w:spacing w:after="100" w:before="260"/>
        <w:outlineLvl w:val="1"/>
      </w:pPr>
      <w:r>
        <w:rPr>
          <w:b/>
          <w:bCs/>
          <w:color w:val="16324F"/>
          <w:sz w:val="28"/>
          <w:szCs w:val="28"/>
        </w:rPr>
        <w:t xml:space="preserve">Core policies most small charities should consider</w:t>
      </w:r>
    </w:p>
    <w:p>
      <w:pPr>
        <w:spacing w:after="160" w:line="276"/>
      </w:pPr>
      <w:r>
        <w:rPr>
          <w:color w:val="24303A"/>
          <w:sz w:val="22"/>
          <w:szCs w:val="22"/>
        </w:rPr>
        <w:t xml:space="preserve">For most small charities, these are the areas to have covered first:</w:t>
      </w:r>
    </w:p>
    <w:p>
      <w:pPr>
        <w:pStyle w:val="ListParagraph"/>
        <w:numPr>
          <w:ilvl w:val="0"/>
          <w:numId w:val="2"/>
        </w:numPr>
        <w:spacing w:after="80" w:line="276"/>
      </w:pPr>
      <w:r>
        <w:rPr>
          <w:b/>
          <w:bCs/>
          <w:color w:val="24303A"/>
          <w:sz w:val="22"/>
          <w:szCs w:val="22"/>
        </w:rPr>
        <w:t xml:space="preserve">Safeguarding — </w:t>
      </w:r>
      <w:r>
        <w:rPr>
          <w:color w:val="24303A"/>
          <w:sz w:val="22"/>
          <w:szCs w:val="22"/>
        </w:rPr>
        <w:t xml:space="preserve">every charity should consider safeguarding. Trustees are responsible for protecting everyone who comes into contact with the charity, including staff, volunteers and beneficiaries. The scope and detail of the policy should reflect who you work with, with particularly robust arrangements where children or adults at risk are involved.</w:t>
      </w:r>
    </w:p>
    <w:p>
      <w:pPr>
        <w:pStyle w:val="ListParagraph"/>
        <w:numPr>
          <w:ilvl w:val="0"/>
          <w:numId w:val="2"/>
        </w:numPr>
        <w:spacing w:after="80" w:line="276"/>
      </w:pPr>
      <w:r>
        <w:rPr>
          <w:b/>
          <w:bCs/>
          <w:color w:val="24303A"/>
          <w:sz w:val="22"/>
          <w:szCs w:val="22"/>
        </w:rPr>
        <w:t xml:space="preserve">Financial controls — </w:t>
      </w:r>
      <w:r>
        <w:rPr>
          <w:color w:val="24303A"/>
          <w:sz w:val="22"/>
          <w:szCs w:val="22"/>
        </w:rPr>
        <w:t xml:space="preserve">how money is handled: who can authorise spending, how payments are made, and the checks that stop errors and fraud.</w:t>
      </w:r>
    </w:p>
    <w:p>
      <w:pPr>
        <w:pStyle w:val="ListParagraph"/>
        <w:numPr>
          <w:ilvl w:val="0"/>
          <w:numId w:val="2"/>
        </w:numPr>
        <w:spacing w:after="80" w:line="276"/>
      </w:pPr>
      <w:r>
        <w:rPr>
          <w:b/>
          <w:bCs/>
          <w:color w:val="24303A"/>
          <w:sz w:val="22"/>
          <w:szCs w:val="22"/>
        </w:rPr>
        <w:t xml:space="preserve">Conflicts of interest — </w:t>
      </w:r>
      <w:r>
        <w:rPr>
          <w:color w:val="24303A"/>
          <w:sz w:val="22"/>
          <w:szCs w:val="22"/>
        </w:rPr>
        <w:t xml:space="preserve">how trustees declare and manage situations where their interests could clash with the charity’s.</w:t>
      </w:r>
    </w:p>
    <w:p>
      <w:pPr>
        <w:pStyle w:val="ListParagraph"/>
        <w:numPr>
          <w:ilvl w:val="0"/>
          <w:numId w:val="2"/>
        </w:numPr>
        <w:spacing w:after="80" w:line="276"/>
      </w:pPr>
      <w:r>
        <w:rPr>
          <w:b/>
          <w:bCs/>
          <w:color w:val="24303A"/>
          <w:sz w:val="22"/>
          <w:szCs w:val="22"/>
        </w:rPr>
        <w:t xml:space="preserve">Data protection / privacy — </w:t>
      </w:r>
      <w:r>
        <w:rPr>
          <w:color w:val="24303A"/>
          <w:sz w:val="22"/>
          <w:szCs w:val="22"/>
        </w:rPr>
        <w:t xml:space="preserve">how you handle personal information about supporters, beneficiaries and staff, in line with UK data protection law.</w:t>
      </w:r>
    </w:p>
    <w:p>
      <w:pPr>
        <w:pStyle w:val="ListParagraph"/>
        <w:numPr>
          <w:ilvl w:val="0"/>
          <w:numId w:val="2"/>
        </w:numPr>
        <w:spacing w:after="80" w:line="276"/>
      </w:pPr>
      <w:r>
        <w:rPr>
          <w:b/>
          <w:bCs/>
          <w:color w:val="24303A"/>
          <w:sz w:val="22"/>
          <w:szCs w:val="22"/>
        </w:rPr>
        <w:t xml:space="preserve">Health and safety — </w:t>
      </w:r>
      <w:r>
        <w:rPr>
          <w:color w:val="24303A"/>
          <w:sz w:val="22"/>
          <w:szCs w:val="22"/>
        </w:rPr>
        <w:t xml:space="preserve">keeping staff, volunteers and the public safe, especially if you run premises or events. A written health and safety policy becomes a legal requirement once you employ five or more people; smaller and volunteer-only charities must still manage the risks sensibly, even where a written policy is not strictly required.</w:t>
      </w:r>
    </w:p>
    <w:p>
      <w:pPr>
        <w:pStyle w:val="ListParagraph"/>
        <w:numPr>
          <w:ilvl w:val="0"/>
          <w:numId w:val="2"/>
        </w:numPr>
        <w:spacing w:after="80" w:line="276"/>
      </w:pPr>
      <w:r>
        <w:rPr>
          <w:b/>
          <w:bCs/>
          <w:color w:val="24303A"/>
          <w:sz w:val="22"/>
          <w:szCs w:val="22"/>
        </w:rPr>
        <w:t xml:space="preserve">Complaints — </w:t>
      </w:r>
      <w:r>
        <w:rPr>
          <w:color w:val="24303A"/>
          <w:sz w:val="22"/>
          <w:szCs w:val="22"/>
        </w:rPr>
        <w:t xml:space="preserve">a simple, fair way for people to raise concerns and for you to respond.</w:t>
      </w:r>
    </w:p>
    <w:p>
      <w:pPr>
        <w:pStyle w:val="ListParagraph"/>
        <w:numPr>
          <w:ilvl w:val="0"/>
          <w:numId w:val="2"/>
        </w:numPr>
        <w:spacing w:after="80" w:line="276"/>
      </w:pPr>
      <w:r>
        <w:rPr>
          <w:b/>
          <w:bCs/>
          <w:color w:val="24303A"/>
          <w:sz w:val="22"/>
          <w:szCs w:val="22"/>
        </w:rPr>
        <w:t xml:space="preserve">Reserves — </w:t>
      </w:r>
      <w:r>
        <w:rPr>
          <w:color w:val="24303A"/>
          <w:sz w:val="22"/>
          <w:szCs w:val="22"/>
        </w:rPr>
        <w:t xml:space="preserve">decide an appropriate approach to how much money you hold in reserve and why. Your annual report must explain the charity’s reserves position and policy, or state that it has no reserves policy.</w:t>
      </w:r>
    </w:p>
    <w:p>
      <w:pPr>
        <w:pStyle w:val="ListParagraph"/>
        <w:numPr>
          <w:ilvl w:val="0"/>
          <w:numId w:val="2"/>
        </w:numPr>
        <w:spacing w:after="80" w:line="276"/>
      </w:pPr>
      <w:r>
        <w:rPr>
          <w:b/>
          <w:bCs/>
          <w:color w:val="24303A"/>
          <w:sz w:val="22"/>
          <w:szCs w:val="22"/>
        </w:rPr>
        <w:t xml:space="preserve">Trustee code of conduct — </w:t>
      </w:r>
      <w:r>
        <w:rPr>
          <w:color w:val="24303A"/>
          <w:sz w:val="22"/>
          <w:szCs w:val="22"/>
        </w:rPr>
        <w:t xml:space="preserve">the standards of behaviour expected of board members.</w:t>
      </w:r>
    </w:p>
    <w:p>
      <w:pPr>
        <w:spacing w:after="100" w:before="260"/>
        <w:outlineLvl w:val="1"/>
      </w:pPr>
      <w:r>
        <w:rPr>
          <w:b/>
          <w:bCs/>
          <w:color w:val="16324F"/>
          <w:sz w:val="28"/>
          <w:szCs w:val="28"/>
        </w:rPr>
        <w:t xml:space="preserve">Useful, depending on what you do</w:t>
      </w:r>
    </w:p>
    <w:p>
      <w:pPr>
        <w:spacing w:after="160" w:line="276"/>
      </w:pPr>
      <w:r>
        <w:rPr>
          <w:color w:val="24303A"/>
          <w:sz w:val="22"/>
          <w:szCs w:val="22"/>
        </w:rPr>
        <w:t xml:space="preserve">Beyond the core set, add policies that match your actual activities and risks rather than collecting them for the sake of it:</w:t>
      </w:r>
    </w:p>
    <w:p>
      <w:pPr>
        <w:pStyle w:val="ListParagraph"/>
        <w:numPr>
          <w:ilvl w:val="0"/>
          <w:numId w:val="2"/>
        </w:numPr>
        <w:spacing w:after="80" w:line="276"/>
      </w:pPr>
      <w:r>
        <w:rPr>
          <w:color w:val="24303A"/>
          <w:sz w:val="22"/>
          <w:szCs w:val="22"/>
        </w:rPr>
        <w:t xml:space="preserve">A volunteer policy, if you rely on volunteers.</w:t>
      </w:r>
    </w:p>
    <w:p>
      <w:pPr>
        <w:pStyle w:val="ListParagraph"/>
        <w:numPr>
          <w:ilvl w:val="0"/>
          <w:numId w:val="2"/>
        </w:numPr>
        <w:spacing w:after="80" w:line="276"/>
      </w:pPr>
      <w:r>
        <w:rPr>
          <w:color w:val="24303A"/>
          <w:sz w:val="22"/>
          <w:szCs w:val="22"/>
        </w:rPr>
        <w:t xml:space="preserve">Equality, diversity and inclusion, to set out your commitment and expectations.</w:t>
      </w:r>
    </w:p>
    <w:p>
      <w:pPr>
        <w:pStyle w:val="ListParagraph"/>
        <w:numPr>
          <w:ilvl w:val="0"/>
          <w:numId w:val="2"/>
        </w:numPr>
        <w:spacing w:after="80" w:line="276"/>
      </w:pPr>
      <w:r>
        <w:rPr>
          <w:color w:val="24303A"/>
          <w:sz w:val="22"/>
          <w:szCs w:val="22"/>
        </w:rPr>
        <w:t xml:space="preserve">Investment and risk management policies, as you grow.</w:t>
      </w:r>
    </w:p>
    <w:p>
      <w:pPr>
        <w:pStyle w:val="ListParagraph"/>
        <w:numPr>
          <w:ilvl w:val="0"/>
          <w:numId w:val="2"/>
        </w:numPr>
        <w:spacing w:after="80" w:line="276"/>
      </w:pPr>
      <w:r>
        <w:rPr>
          <w:color w:val="24303A"/>
          <w:sz w:val="22"/>
          <w:szCs w:val="22"/>
        </w:rPr>
        <w:t xml:space="preserve">Expenses, social media, whistleblowing and lone-working policies, where they fit your work.</w:t>
      </w:r>
    </w:p>
    <w:p>
      <w:pPr>
        <w:pStyle w:val="ListParagraph"/>
        <w:numPr>
          <w:ilvl w:val="0"/>
          <w:numId w:val="2"/>
        </w:numPr>
        <w:spacing w:after="80" w:line="276"/>
      </w:pPr>
      <w:r>
        <w:rPr>
          <w:color w:val="24303A"/>
          <w:sz w:val="22"/>
          <w:szCs w:val="22"/>
        </w:rPr>
        <w:t xml:space="preserve">A fundraising policy, if you raise money from the public.</w:t>
      </w:r>
    </w:p>
    <w:p>
      <w:pPr>
        <w:spacing w:after="100" w:before="260"/>
        <w:outlineLvl w:val="1"/>
      </w:pPr>
      <w:r>
        <w:rPr>
          <w:b/>
          <w:bCs/>
          <w:color w:val="16324F"/>
          <w:sz w:val="28"/>
          <w:szCs w:val="28"/>
        </w:rPr>
        <w:t xml:space="preserve">Keep them alive</w:t>
      </w:r>
    </w:p>
    <w:p>
      <w:pPr>
        <w:spacing w:after="160" w:line="276"/>
      </w:pPr>
      <w:r>
        <w:rPr>
          <w:color w:val="24303A"/>
          <w:sz w:val="22"/>
          <w:szCs w:val="22"/>
        </w:rPr>
        <w:t xml:space="preserve">A policy is only worth having if it is used and up to date. Give each policy an owner, set a review date (many charities review each policy on a rolling schedule so the whole set stays current), and resist the temptation to download a template and adopt it unread — a policy that does not reflect how your charity actually works can be worse than none at all.</w:t>
      </w:r>
    </w:p>
    <w:p>
      <w:pPr>
        <w:spacing w:after="100" w:before="260"/>
        <w:outlineLvl w:val="1"/>
      </w:pPr>
      <w:r>
        <w:rPr>
          <w:b/>
          <w:bCs/>
          <w:color w:val="16324F"/>
          <w:sz w:val="28"/>
          <w:szCs w:val="28"/>
        </w:rPr>
        <w:t xml:space="preserve">Where to start</w:t>
      </w:r>
    </w:p>
    <w:p>
      <w:pPr>
        <w:spacing w:after="160" w:line="276"/>
      </w:pPr>
      <w:r>
        <w:rPr>
          <w:color w:val="24303A"/>
          <w:sz w:val="22"/>
          <w:szCs w:val="22"/>
        </w:rPr>
        <w:t xml:space="preserve">If you are starting from nothing, prioritise by risk. Put safeguarding and financial controls in place first, then conflicts of interest and data protection, then work through the rest. A short, honest policy you follow beats a long, impressive one you ignore.</w:t>
      </w:r>
    </w:p>
    <w:p>
      <w:pPr>
        <w:pBdr>
          <w:top w:val="single" w:color="E2E7EC" w:sz="4" w:space="10"/>
        </w:pBdr>
        <w:spacing w:before="300" w:line="240"/>
      </w:pPr>
      <w:r>
        <w:rPr>
          <w:i/>
          <w:iCs/>
          <w:color w:val="5A6774"/>
          <w:sz w:val="18"/>
          <w:szCs w:val="18"/>
        </w:rPr>
        <w:t xml:space="preserve">This guide is general information for trustees and committee members, not legal or financial advice, and every charity is different. Rules can change, so always confirm the current position with the relevant regulator or a suitably qualified adviser before acting. Last reviewed July 2026.</w:t>
      </w:r>
    </w:p>
    <w:p>
      <w:pPr>
        <w:spacing w:before="120"/>
      </w:pPr>
      <w:r>
        <w:rPr>
          <w:color w:val="5A6774"/>
          <w:sz w:val="16"/>
          <w:szCs w:val="16"/>
        </w:rPr>
        <w:t xml:space="preserve">The Committee Room · Governance support for UK charity boards &amp; committees · hello@thecommitteeroom.co.uk</w:t>
      </w:r>
    </w:p>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2F7D78"/>
      </w:rPr>
    </w:lvl>
  </w:abstractNum>
  <w:abstractNum w:abstractNumId="3" w15:restartNumberingAfterBreak="0">
    <w:multiLevelType w:val="hybridMultilevel"/>
    <w:lvl w:ilvl="0" w15:tentative="1">
      <w:start w:val="1"/>
      <w:numFmt w:val="decimal"/>
      <w:lvlText w:val="%1."/>
      <w:lvlJc w:val="left"/>
      <w:pPr>
        <w:ind w:left="460" w:hanging="360"/>
      </w:pPr>
      <w:rPr>
        <w:b/>
        <w:bCs/>
        <w:color w:val="1632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Committee Room</dc:creator>
  <cp:lastModifiedBy>Un-named</cp:lastModifiedBy>
  <cp:revision>1</cp:revision>
  <dcterms:created xsi:type="dcterms:W3CDTF">2026-07-22T19:34:24.668Z</dcterms:created>
  <dcterms:modified xsi:type="dcterms:W3CDTF">2026-07-22T19:34:24.668Z</dcterms:modified>
</cp:coreProperties>
</file>

<file path=docProps/custom.xml><?xml version="1.0" encoding="utf-8"?>
<Properties xmlns="http://schemas.openxmlformats.org/officeDocument/2006/custom-properties" xmlns:vt="http://schemas.openxmlformats.org/officeDocument/2006/docPropsVTypes"/>
</file>