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C2A4E"/>
          <w:sz w:val="20"/>
          <w:szCs w:val="20"/>
        </w:rPr>
        <w:t xml:space="preserve">THE COMMITTEE ROOM</w:t>
      </w:r>
      <w:r>
        <w:rPr>
          <w:rFonts w:ascii="Calibri" w:cs="Calibri" w:eastAsia="Calibri" w:hAnsi="Calibri"/>
          <w:b/>
          <w:bCs/>
          <w:color w:val="8F6E12"/>
          <w:sz w:val="20"/>
          <w:szCs w:val="20"/>
        </w:rPr>
        <w:t xml:space="preserve">   ·   GOVERNANCE TEMPLATE</w:t>
      </w:r>
    </w:p>
    <w:p>
      <w:pPr>
        <w:pBdr>
          <w:bottom w:val="single" w:color="C9A227" w:sz="12"/>
        </w:pBdr>
        <w:spacing w:after="240"/>
      </w:pPr>
    </w:p>
    <w:p>
      <w:pPr>
        <w:spacing w:after="120"/>
      </w:pPr>
      <w:r>
        <w:rPr>
          <w:rFonts w:ascii="Calibri" w:cs="Calibri" w:eastAsia="Calibri" w:hAnsi="Calibri"/>
          <w:b/>
          <w:bCs/>
          <w:color w:val="1C2A4E"/>
          <w:sz w:val="40"/>
          <w:szCs w:val="40"/>
        </w:rPr>
        <w:t xml:space="preserve">Financial controls policy</w:t>
      </w:r>
    </w:p>
    <w:p>
      <w:pPr>
        <w:spacing w:after="60" w:before="60"/>
      </w:pPr>
      <w:r>
        <w:rPr>
          <w:rFonts w:ascii="Calibri" w:cs="Calibri" w:eastAsia="Calibri" w:hAnsi="Calibri"/>
          <w:b w:val="false"/>
          <w:bCs w:val="false"/>
          <w:i w:val="false"/>
          <w:iCs w:val="false"/>
          <w:color w:val="5A6377"/>
          <w:sz w:val="18"/>
          <w:szCs w:val="18"/>
        </w:rPr>
        <w:t xml:space="preserve">For: [charity name] · Registered charity no. [number, if registered] · Version [1] · [date]</w:t>
      </w:r>
    </w:p>
    <w:p>
      <w:pPr>
        <w:pBdr>
          <w:left w:val="single" w:color="C9A227" w:sz="18"/>
        </w:pBdr>
        <w:shd w:fill="F7F0D8" w:val="clear"/>
        <w:spacing w:after="160"/>
        <w:ind w:left="120"/>
      </w:pPr>
      <w:r>
        <w:rPr>
          <w:rFonts w:ascii="Calibri" w:cs="Calibri" w:eastAsia="Calibri" w:hAnsi="Calibri"/>
          <w:b/>
          <w:bCs/>
          <w:i w:val="false"/>
          <w:iCs w:val="false"/>
          <w:color w:val="232B3E"/>
          <w:sz w:val="20"/>
          <w:szCs w:val="20"/>
        </w:rPr>
        <w:t xml:space="preserve">How to use this template:</w:t>
      </w:r>
      <w:r>
        <w:rPr>
          <w:rFonts w:ascii="Calibri" w:cs="Calibri" w:eastAsia="Calibri" w:hAnsi="Calibri"/>
          <w:b w:val="false"/>
          <w:bCs w:val="false"/>
          <w:i w:val="false"/>
          <w:iCs w:val="false"/>
          <w:color w:val="232B3E"/>
          <w:sz w:val="20"/>
          <w:szCs w:val="20"/>
        </w:rPr>
        <w:t xml:space="preserve"> replace everything in [square brackets], delete anything that does not apply to your charity, and adopt it by a minuted board decision. It is a solid starting point, based on Charity Commission guidance, and written for small UK charities. It is not legal advice, and your governing document takes precedence. In Scotland (OSCR) and Northern Ireland (CCNI) the same principles apply under your own regulator.</w:t>
      </w:r>
    </w:p>
    <w:p>
      <w:pPr>
        <w:spacing w:after="100" w:before="280"/>
      </w:pPr>
      <w:r>
        <w:rPr>
          <w:rFonts w:ascii="Calibri" w:cs="Calibri" w:eastAsia="Calibri" w:hAnsi="Calibri"/>
          <w:b/>
          <w:bCs/>
          <w:color w:val="1C2A4E"/>
          <w:sz w:val="26"/>
          <w:szCs w:val="26"/>
        </w:rPr>
        <w:t xml:space="preserve">1. Why we have this policy</w:t>
      </w:r>
    </w:p>
    <w:p>
      <w:pPr>
        <w:spacing w:after="120"/>
      </w:pPr>
      <w:r>
        <w:rPr>
          <w:rFonts w:ascii="Calibri" w:cs="Calibri" w:eastAsia="Calibri" w:hAnsi="Calibri"/>
          <w:b w:val="false"/>
          <w:bCs w:val="false"/>
          <w:i w:val="false"/>
          <w:iCs w:val="false"/>
          <w:color w:val="232B3E"/>
          <w:sz w:val="22"/>
          <w:szCs w:val="22"/>
        </w:rPr>
        <w:t xml:space="preserve">Trustees are jointly responsible for the charity's money. Good financial controls protect the charity's funds, protect the people who handle them from suspicion, and give funders and the regulator confidence. The golden rule throughout: </w:t>
      </w:r>
      <w:r>
        <w:rPr>
          <w:rFonts w:ascii="Calibri" w:cs="Calibri" w:eastAsia="Calibri" w:hAnsi="Calibri"/>
          <w:b/>
          <w:bCs/>
          <w:i w:val="false"/>
          <w:iCs w:val="false"/>
          <w:color w:val="232B3E"/>
          <w:sz w:val="22"/>
          <w:szCs w:val="22"/>
        </w:rPr>
        <w:t xml:space="preserve">no single person controls any transaction from start to finish.</w:t>
      </w:r>
    </w:p>
    <w:p>
      <w:pPr>
        <w:spacing w:after="100" w:before="280"/>
      </w:pPr>
      <w:r>
        <w:rPr>
          <w:rFonts w:ascii="Calibri" w:cs="Calibri" w:eastAsia="Calibri" w:hAnsi="Calibri"/>
          <w:b/>
          <w:bCs/>
          <w:color w:val="1C2A4E"/>
          <w:sz w:val="26"/>
          <w:szCs w:val="26"/>
        </w:rPr>
        <w:t xml:space="preserve">2. Responsibilities</w:t>
      </w:r>
    </w:p>
    <w:p>
      <w:pPr>
        <w:pStyle w:val="ListParagraph"/>
        <w:numPr>
          <w:ilvl w:val="0"/>
          <w:numId w:val="2"/>
        </w:numPr>
        <w:spacing w:after="80"/>
      </w:pPr>
      <w:r>
        <w:rPr>
          <w:rFonts w:ascii="Calibri" w:cs="Calibri" w:eastAsia="Calibri" w:hAnsi="Calibri"/>
          <w:b/>
          <w:bCs/>
          <w:i w:val="false"/>
          <w:iCs w:val="false"/>
          <w:color w:val="232B3E"/>
          <w:sz w:val="22"/>
          <w:szCs w:val="22"/>
        </w:rPr>
        <w:t xml:space="preserve">The board</w:t>
      </w:r>
      <w:r>
        <w:rPr>
          <w:rFonts w:ascii="Calibri" w:cs="Calibri" w:eastAsia="Calibri" w:hAnsi="Calibri"/>
          <w:b w:val="false"/>
          <w:bCs w:val="false"/>
          <w:i w:val="false"/>
          <w:iCs w:val="false"/>
          <w:color w:val="232B3E"/>
          <w:sz w:val="22"/>
          <w:szCs w:val="22"/>
        </w:rPr>
        <w:t xml:space="preserve"> is collectively responsible for the charity's finances, approves the budget, and reviews the financial position at every meeting.</w:t>
      </w:r>
    </w:p>
    <w:p>
      <w:pPr>
        <w:pStyle w:val="ListParagraph"/>
        <w:numPr>
          <w:ilvl w:val="0"/>
          <w:numId w:val="2"/>
        </w:numPr>
        <w:spacing w:after="80"/>
      </w:pPr>
      <w:r>
        <w:rPr>
          <w:rFonts w:ascii="Calibri" w:cs="Calibri" w:eastAsia="Calibri" w:hAnsi="Calibri"/>
          <w:b/>
          <w:bCs/>
          <w:i w:val="false"/>
          <w:iCs w:val="false"/>
          <w:color w:val="232B3E"/>
          <w:sz w:val="22"/>
          <w:szCs w:val="22"/>
        </w:rPr>
        <w:t xml:space="preserve">The treasurer</w:t>
      </w:r>
      <w:r>
        <w:rPr>
          <w:rFonts w:ascii="Calibri" w:cs="Calibri" w:eastAsia="Calibri" w:hAnsi="Calibri"/>
          <w:b w:val="false"/>
          <w:bCs w:val="false"/>
          <w:i w:val="false"/>
          <w:iCs w:val="false"/>
          <w:color w:val="232B3E"/>
          <w:sz w:val="22"/>
          <w:szCs w:val="22"/>
        </w:rPr>
        <w:t xml:space="preserve"> oversees day-to-day arrangements, keeps the records, and reports to each board meeting: income and spending against budget, the bank balance, and anything unusual.</w:t>
      </w:r>
    </w:p>
    <w:p>
      <w:pPr>
        <w:pStyle w:val="ListParagraph"/>
        <w:numPr>
          <w:ilvl w:val="0"/>
          <w:numId w:val="2"/>
        </w:numPr>
        <w:spacing w:after="80"/>
      </w:pPr>
      <w:r>
        <w:rPr>
          <w:rFonts w:ascii="Calibri" w:cs="Calibri" w:eastAsia="Calibri" w:hAnsi="Calibri"/>
          <w:b/>
          <w:bCs/>
          <w:i w:val="false"/>
          <w:iCs w:val="false"/>
          <w:color w:val="232B3E"/>
          <w:sz w:val="22"/>
          <w:szCs w:val="22"/>
        </w:rPr>
        <w:t xml:space="preserve">Everyone who handles money</w:t>
      </w:r>
      <w:r>
        <w:rPr>
          <w:rFonts w:ascii="Calibri" w:cs="Calibri" w:eastAsia="Calibri" w:hAnsi="Calibri"/>
          <w:b w:val="false"/>
          <w:bCs w:val="false"/>
          <w:i w:val="false"/>
          <w:iCs w:val="false"/>
          <w:color w:val="232B3E"/>
          <w:sz w:val="22"/>
          <w:szCs w:val="22"/>
        </w:rPr>
        <w:t xml:space="preserve"> follows this policy. It applies to volunteers as much as trustees.</w:t>
      </w:r>
    </w:p>
    <w:p>
      <w:pPr>
        <w:spacing w:after="100" w:before="280"/>
      </w:pPr>
      <w:r>
        <w:rPr>
          <w:rFonts w:ascii="Calibri" w:cs="Calibri" w:eastAsia="Calibri" w:hAnsi="Calibri"/>
          <w:b/>
          <w:bCs/>
          <w:color w:val="1C2A4E"/>
          <w:sz w:val="26"/>
          <w:szCs w:val="26"/>
        </w:rPr>
        <w:t xml:space="preserve">3. Budget and monitoring</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The board approves a budget before each financial year begins.</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The treasurer presents figures against that budget at every board meeting, in writing.</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The board sets and monitors a reserves policy: we aim to hold [e.g. three months' running costs] in unrestricted reserves, and the treasurer reports against it [quarterly].</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Restricted funds (money given for a specific purpose) are tracked separately and spent only on that purpose.</w:t>
      </w:r>
    </w:p>
    <w:p>
      <w:pPr>
        <w:spacing w:after="100" w:before="280"/>
      </w:pPr>
      <w:r>
        <w:rPr>
          <w:rFonts w:ascii="Calibri" w:cs="Calibri" w:eastAsia="Calibri" w:hAnsi="Calibri"/>
          <w:b/>
          <w:bCs/>
          <w:color w:val="1C2A4E"/>
          <w:sz w:val="26"/>
          <w:szCs w:val="26"/>
        </w:rPr>
        <w:t xml:space="preserve">4. Banking</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All money is held in accounts in the charity's own name. No charity money is held in personal accounts, however briefly.</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There are at least </w:t>
      </w:r>
      <w:r>
        <w:rPr>
          <w:rFonts w:ascii="Calibri" w:cs="Calibri" w:eastAsia="Calibri" w:hAnsi="Calibri"/>
          <w:b/>
          <w:bCs/>
          <w:i w:val="false"/>
          <w:iCs w:val="false"/>
          <w:color w:val="232B3E"/>
          <w:sz w:val="22"/>
          <w:szCs w:val="22"/>
        </w:rPr>
        <w:t xml:space="preserve">[three]</w:t>
      </w:r>
      <w:r>
        <w:rPr>
          <w:rFonts w:ascii="Calibri" w:cs="Calibri" w:eastAsia="Calibri" w:hAnsi="Calibri"/>
          <w:b w:val="false"/>
          <w:bCs w:val="false"/>
          <w:i w:val="false"/>
          <w:iCs w:val="false"/>
          <w:color w:val="232B3E"/>
          <w:sz w:val="22"/>
          <w:szCs w:val="22"/>
        </w:rPr>
        <w:t xml:space="preserve"> authorised signatories, drawn from [trustee roles], who are not members of the same household.</w:t>
      </w:r>
    </w:p>
    <w:p>
      <w:pPr>
        <w:pStyle w:val="ListParagraph"/>
        <w:numPr>
          <w:ilvl w:val="0"/>
          <w:numId w:val="2"/>
        </w:numPr>
        <w:spacing w:after="80"/>
      </w:pPr>
      <w:r>
        <w:rPr>
          <w:rFonts w:ascii="Calibri" w:cs="Calibri" w:eastAsia="Calibri" w:hAnsi="Calibri"/>
          <w:b/>
          <w:bCs/>
          <w:i w:val="false"/>
          <w:iCs w:val="false"/>
          <w:color w:val="232B3E"/>
          <w:sz w:val="22"/>
          <w:szCs w:val="22"/>
        </w:rPr>
        <w:t xml:space="preserve">Every payment requires two authorisations.</w:t>
      </w:r>
      <w:r>
        <w:rPr>
          <w:rFonts w:ascii="Calibri" w:cs="Calibri" w:eastAsia="Calibri" w:hAnsi="Calibri"/>
          <w:b w:val="false"/>
          <w:bCs w:val="false"/>
          <w:i w:val="false"/>
          <w:iCs w:val="false"/>
          <w:color w:val="232B3E"/>
          <w:sz w:val="22"/>
          <w:szCs w:val="22"/>
        </w:rPr>
        <w:t xml:space="preserve"> This applies to online banking and card payments as well as cheques. Blank cheques are never signed.</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Bank statements are reviewed [monthly] by someone who is </w:t>
      </w:r>
      <w:r>
        <w:rPr>
          <w:rFonts w:ascii="Calibri" w:cs="Calibri" w:eastAsia="Calibri" w:hAnsi="Calibri"/>
          <w:b/>
          <w:bCs/>
          <w:i w:val="false"/>
          <w:iCs w:val="false"/>
          <w:color w:val="232B3E"/>
          <w:sz w:val="22"/>
          <w:szCs w:val="22"/>
        </w:rPr>
        <w:t xml:space="preserve">not</w:t>
      </w:r>
      <w:r>
        <w:rPr>
          <w:rFonts w:ascii="Calibri" w:cs="Calibri" w:eastAsia="Calibri" w:hAnsi="Calibri"/>
          <w:b w:val="false"/>
          <w:bCs w:val="false"/>
          <w:i w:val="false"/>
          <w:iCs w:val="false"/>
          <w:color w:val="232B3E"/>
          <w:sz w:val="22"/>
          <w:szCs w:val="22"/>
        </w:rPr>
        <w:t xml:space="preserve"> a signatory [or by a second trustee], and reconciled against the records.</w:t>
      </w:r>
    </w:p>
    <w:p>
      <w:pPr>
        <w:spacing w:after="100" w:before="280"/>
      </w:pPr>
      <w:r>
        <w:rPr>
          <w:rFonts w:ascii="Calibri" w:cs="Calibri" w:eastAsia="Calibri" w:hAnsi="Calibri"/>
          <w:b/>
          <w:bCs/>
          <w:color w:val="1C2A4E"/>
          <w:sz w:val="26"/>
          <w:szCs w:val="26"/>
        </w:rPr>
        <w:t xml:space="preserve">5. Authorisation limits</w:t>
      </w:r>
    </w:p>
    <w:p>
      <w:pPr>
        <w:spacing w:after="120"/>
      </w:pPr>
      <w:r>
        <w:rPr>
          <w:rFonts w:ascii="Calibri" w:cs="Calibri" w:eastAsia="Calibri" w:hAnsi="Calibri"/>
          <w:b w:val="false"/>
          <w:bCs w:val="false"/>
          <w:i w:val="false"/>
          <w:iCs w:val="false"/>
          <w:color w:val="232B3E"/>
          <w:sz w:val="22"/>
          <w:szCs w:val="22"/>
        </w:rPr>
        <w:t xml:space="preserve">Spending is authorised before it is committed, at the following levels (amounts are examples — set your own):</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000"/>
        <w:gridCol w:w="6100"/>
      </w:tblGrid>
      <w:tr>
        <w:tc>
          <w:tcPr>
            <w:tcW w:type="dxa" w:w="3000"/>
            <w:shd w:fill="1C2A4E" w:val="clear"/>
          </w:tcPr>
          <w:p>
            <w:r>
              <w:rPr>
                <w:rFonts w:ascii="Calibri" w:cs="Calibri" w:eastAsia="Calibri" w:hAnsi="Calibri"/>
                <w:b/>
                <w:bCs/>
                <w:color w:val="FFFFFF"/>
                <w:sz w:val="20"/>
                <w:szCs w:val="20"/>
              </w:rPr>
              <w:t xml:space="preserve">Amount</w:t>
            </w:r>
          </w:p>
        </w:tc>
        <w:tc>
          <w:tcPr>
            <w:tcW w:type="dxa" w:w="6100"/>
            <w:shd w:fill="1C2A4E" w:val="clear"/>
          </w:tcPr>
          <w:p>
            <w:r>
              <w:rPr>
                <w:rFonts w:ascii="Calibri" w:cs="Calibri" w:eastAsia="Calibri" w:hAnsi="Calibri"/>
                <w:b/>
                <w:bCs/>
                <w:color w:val="FFFFFF"/>
                <w:sz w:val="20"/>
                <w:szCs w:val="20"/>
              </w:rPr>
              <w:t xml:space="preserve">Who can authorise</w:t>
            </w:r>
          </w:p>
        </w:tc>
      </w:tr>
      <w:tr>
        <w:tc>
          <w:tcPr>
            <w:tcW w:type="dxa" w:w="3000"/>
          </w:tcPr>
          <w:p>
            <w:r>
              <w:rPr>
                <w:rFonts w:ascii="Calibri" w:cs="Calibri" w:eastAsia="Calibri" w:hAnsi="Calibri"/>
                <w:b w:val="false"/>
                <w:bCs w:val="false"/>
                <w:i w:val="false"/>
                <w:iCs w:val="false"/>
                <w:color w:val="232B3E"/>
                <w:sz w:val="20"/>
                <w:szCs w:val="20"/>
              </w:rPr>
              <w:t xml:space="preserve">Up to £[100]</w:t>
            </w:r>
          </w:p>
        </w:tc>
        <w:tc>
          <w:tcPr>
            <w:tcW w:type="dxa" w:w="6100"/>
          </w:tcPr>
          <w:p>
            <w:r>
              <w:rPr>
                <w:rFonts w:ascii="Calibri" w:cs="Calibri" w:eastAsia="Calibri" w:hAnsi="Calibri"/>
                <w:b w:val="false"/>
                <w:bCs w:val="false"/>
                <w:i w:val="false"/>
                <w:iCs w:val="false"/>
                <w:color w:val="232B3E"/>
                <w:sz w:val="20"/>
                <w:szCs w:val="20"/>
              </w:rPr>
              <w:t xml:space="preserve">[Treasurer or chair] alone, within the approved budget</w:t>
            </w:r>
          </w:p>
        </w:tc>
      </w:tr>
      <w:tr>
        <w:tc>
          <w:tcPr>
            <w:tcW w:type="dxa" w:w="3000"/>
            <w:shd w:fill="F5F6FA" w:val="clear"/>
          </w:tcPr>
          <w:p>
            <w:r>
              <w:rPr>
                <w:rFonts w:ascii="Calibri" w:cs="Calibri" w:eastAsia="Calibri" w:hAnsi="Calibri"/>
                <w:b w:val="false"/>
                <w:bCs w:val="false"/>
                <w:i w:val="false"/>
                <w:iCs w:val="false"/>
                <w:color w:val="232B3E"/>
                <w:sz w:val="20"/>
                <w:szCs w:val="20"/>
              </w:rPr>
              <w:t xml:space="preserve">£[100] to £[1,000]</w:t>
            </w:r>
          </w:p>
        </w:tc>
        <w:tc>
          <w:tcPr>
            <w:tcW w:type="dxa" w:w="6100"/>
            <w:shd w:fill="F5F6FA" w:val="clear"/>
          </w:tcPr>
          <w:p>
            <w:r>
              <w:rPr>
                <w:rFonts w:ascii="Calibri" w:cs="Calibri" w:eastAsia="Calibri" w:hAnsi="Calibri"/>
                <w:b w:val="false"/>
                <w:bCs w:val="false"/>
                <w:i w:val="false"/>
                <w:iCs w:val="false"/>
                <w:color w:val="232B3E"/>
                <w:sz w:val="20"/>
                <w:szCs w:val="20"/>
              </w:rPr>
              <w:t xml:space="preserve">Any two of [chair / treasurer / secretary]</w:t>
            </w:r>
          </w:p>
        </w:tc>
      </w:tr>
      <w:tr>
        <w:tc>
          <w:tcPr>
            <w:tcW w:type="dxa" w:w="3000"/>
          </w:tcPr>
          <w:p>
            <w:r>
              <w:rPr>
                <w:rFonts w:ascii="Calibri" w:cs="Calibri" w:eastAsia="Calibri" w:hAnsi="Calibri"/>
                <w:b w:val="false"/>
                <w:bCs w:val="false"/>
                <w:i w:val="false"/>
                <w:iCs w:val="false"/>
                <w:color w:val="232B3E"/>
                <w:sz w:val="20"/>
                <w:szCs w:val="20"/>
              </w:rPr>
              <w:t xml:space="preserve">Over £[1,000], or anything outside the budget</w:t>
            </w:r>
          </w:p>
        </w:tc>
        <w:tc>
          <w:tcPr>
            <w:tcW w:type="dxa" w:w="6100"/>
          </w:tcPr>
          <w:p>
            <w:r>
              <w:rPr>
                <w:rFonts w:ascii="Calibri" w:cs="Calibri" w:eastAsia="Calibri" w:hAnsi="Calibri"/>
                <w:b w:val="false"/>
                <w:bCs w:val="false"/>
                <w:i w:val="false"/>
                <w:iCs w:val="false"/>
                <w:color w:val="232B3E"/>
                <w:sz w:val="20"/>
                <w:szCs w:val="20"/>
              </w:rPr>
              <w:t xml:space="preserve">A decision of the board, recorded in the minutes</w:t>
            </w:r>
          </w:p>
        </w:tc>
      </w:tr>
    </w:tbl>
    <w:p>
      <w:pPr>
        <w:spacing w:after="100" w:before="280"/>
      </w:pPr>
      <w:r>
        <w:rPr>
          <w:rFonts w:ascii="Calibri" w:cs="Calibri" w:eastAsia="Calibri" w:hAnsi="Calibri"/>
          <w:b/>
          <w:bCs/>
          <w:color w:val="1C2A4E"/>
          <w:sz w:val="26"/>
          <w:szCs w:val="26"/>
        </w:rPr>
        <w:t xml:space="preserve">6. Expenses</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Out-of-pocket expenses are claimed on a form with receipts attached, within [two months].</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Claims are approved by someone other than the claimant. The treasurer's claims are approved by the chair.</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We reimburse actual costs only. Mileage is paid at [HMRC approved rates].</w:t>
      </w:r>
    </w:p>
    <w:p>
      <w:pPr>
        <w:spacing w:after="100" w:before="280"/>
      </w:pPr>
      <w:r>
        <w:rPr>
          <w:rFonts w:ascii="Calibri" w:cs="Calibri" w:eastAsia="Calibri" w:hAnsi="Calibri"/>
          <w:b/>
          <w:bCs/>
          <w:color w:val="1C2A4E"/>
          <w:sz w:val="26"/>
          <w:szCs w:val="26"/>
        </w:rPr>
        <w:t xml:space="preserve">7. Income and cash handling</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All income is recorded when it arrives: who from, how much, what for, and whether it is restricted.</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Cash from events or collections is </w:t>
      </w:r>
      <w:r>
        <w:rPr>
          <w:rFonts w:ascii="Calibri" w:cs="Calibri" w:eastAsia="Calibri" w:hAnsi="Calibri"/>
          <w:b/>
          <w:bCs/>
          <w:i w:val="false"/>
          <w:iCs w:val="false"/>
          <w:color w:val="232B3E"/>
          <w:sz w:val="22"/>
          <w:szCs w:val="22"/>
        </w:rPr>
        <w:t xml:space="preserve">counted by two unrelated people</w:t>
      </w:r>
      <w:r>
        <w:rPr>
          <w:rFonts w:ascii="Calibri" w:cs="Calibri" w:eastAsia="Calibri" w:hAnsi="Calibri"/>
          <w:b w:val="false"/>
          <w:bCs w:val="false"/>
          <w:i w:val="false"/>
          <w:iCs w:val="false"/>
          <w:color w:val="232B3E"/>
          <w:sz w:val="22"/>
          <w:szCs w:val="22"/>
        </w:rPr>
        <w:t xml:space="preserve"> on the day, both sign the total, and it is banked within [five working days]. Cash is never taken home [except by prior agreement of the chair, recorded].</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Where we claim Gift Aid, declarations and claim records are kept for at least six years.</w:t>
      </w:r>
    </w:p>
    <w:p>
      <w:pPr>
        <w:spacing w:after="100" w:before="280"/>
      </w:pPr>
      <w:r>
        <w:rPr>
          <w:rFonts w:ascii="Calibri" w:cs="Calibri" w:eastAsia="Calibri" w:hAnsi="Calibri"/>
          <w:b/>
          <w:bCs/>
          <w:color w:val="1C2A4E"/>
          <w:sz w:val="26"/>
          <w:szCs w:val="26"/>
        </w:rPr>
        <w:t xml:space="preserve">8. Records and year-end</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Financial records are kept for </w:t>
      </w:r>
      <w:r>
        <w:rPr>
          <w:rFonts w:ascii="Calibri" w:cs="Calibri" w:eastAsia="Calibri" w:hAnsi="Calibri"/>
          <w:b/>
          <w:bCs/>
          <w:i w:val="false"/>
          <w:iCs w:val="false"/>
          <w:color w:val="232B3E"/>
          <w:sz w:val="22"/>
          <w:szCs w:val="22"/>
        </w:rPr>
        <w:t xml:space="preserve">at least six years</w:t>
      </w:r>
      <w:r>
        <w:rPr>
          <w:rFonts w:ascii="Calibri" w:cs="Calibri" w:eastAsia="Calibri" w:hAnsi="Calibri"/>
          <w:b w:val="false"/>
          <w:bCs w:val="false"/>
          <w:i w:val="false"/>
          <w:iCs w:val="false"/>
          <w:color w:val="232B3E"/>
          <w:sz w:val="22"/>
          <w:szCs w:val="22"/>
        </w:rPr>
        <w:t xml:space="preserve"> after the end of the financial year they relate to.</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Annual accounts are prepared each year and independently examined or audited where the thresholds require it. [From accounting years ending on or after 30 September 2026: independent examination from £40,000 income; audit from £1.5 million.]</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An inventory is kept of significant equipment and property the charity owns.</w:t>
      </w:r>
    </w:p>
    <w:p>
      <w:pPr>
        <w:spacing w:after="100" w:before="280"/>
      </w:pPr>
      <w:r>
        <w:rPr>
          <w:rFonts w:ascii="Calibri" w:cs="Calibri" w:eastAsia="Calibri" w:hAnsi="Calibri"/>
          <w:b/>
          <w:bCs/>
          <w:color w:val="1C2A4E"/>
          <w:sz w:val="26"/>
          <w:szCs w:val="26"/>
        </w:rPr>
        <w:t xml:space="preserve">9. If something goes wrong</w:t>
      </w:r>
    </w:p>
    <w:p>
      <w:pPr>
        <w:spacing w:after="120"/>
      </w:pPr>
      <w:r>
        <w:rPr>
          <w:rFonts w:ascii="Calibri" w:cs="Calibri" w:eastAsia="Calibri" w:hAnsi="Calibri"/>
          <w:b w:val="false"/>
          <w:bCs w:val="false"/>
          <w:i w:val="false"/>
          <w:iCs w:val="false"/>
          <w:color w:val="232B3E"/>
          <w:sz w:val="22"/>
          <w:szCs w:val="22"/>
        </w:rPr>
        <w:t xml:space="preserve">Anyone who suspects an error, loss or fraud reports it to the chair (or, if the concern involves the chair, to another trustee) straight away. The board establishes the facts, takes advice where needed, and reports serious incidents to the Charity Commission [OSCR / CCNI] in line with its guidance. We treat honest mistakes as a reason to improve the controls, not a witch hunt.</w:t>
      </w:r>
    </w:p>
    <w:p>
      <w:pPr>
        <w:spacing w:after="100" w:before="280"/>
      </w:pPr>
      <w:r>
        <w:rPr>
          <w:rFonts w:ascii="Calibri" w:cs="Calibri" w:eastAsia="Calibri" w:hAnsi="Calibri"/>
          <w:b/>
          <w:bCs/>
          <w:color w:val="1C2A4E"/>
          <w:sz w:val="26"/>
          <w:szCs w:val="26"/>
        </w:rPr>
        <w:t xml:space="preserve">Adoption and review</w:t>
      </w:r>
    </w:p>
    <w:p>
      <w:pPr>
        <w:spacing w:after="120"/>
      </w:pPr>
      <w:r>
        <w:rPr>
          <w:rFonts w:ascii="Calibri" w:cs="Calibri" w:eastAsia="Calibri" w:hAnsi="Calibri"/>
          <w:b w:val="false"/>
          <w:bCs w:val="false"/>
          <w:i w:val="false"/>
          <w:iCs w:val="false"/>
          <w:color w:val="232B3E"/>
          <w:sz w:val="22"/>
          <w:szCs w:val="22"/>
        </w:rPr>
        <w:t xml:space="preserve">Adopted by the trustees of </w:t>
      </w:r>
      <w:r>
        <w:rPr>
          <w:rFonts w:ascii="Calibri" w:cs="Calibri" w:eastAsia="Calibri" w:hAnsi="Calibri"/>
          <w:b/>
          <w:bCs/>
          <w:i w:val="false"/>
          <w:iCs w:val="false"/>
          <w:color w:val="232B3E"/>
          <w:sz w:val="22"/>
          <w:szCs w:val="22"/>
        </w:rPr>
        <w:t xml:space="preserve">[charity name]</w:t>
      </w:r>
      <w:r>
        <w:rPr>
          <w:rFonts w:ascii="Calibri" w:cs="Calibri" w:eastAsia="Calibri" w:hAnsi="Calibri"/>
          <w:b w:val="false"/>
          <w:bCs w:val="false"/>
          <w:i w:val="false"/>
          <w:iCs w:val="false"/>
          <w:color w:val="232B3E"/>
          <w:sz w:val="22"/>
          <w:szCs w:val="22"/>
        </w:rPr>
        <w:t xml:space="preserve"> on </w:t>
      </w:r>
      <w:r>
        <w:rPr>
          <w:rFonts w:ascii="Calibri" w:cs="Calibri" w:eastAsia="Calibri" w:hAnsi="Calibri"/>
          <w:b/>
          <w:bCs/>
          <w:i w:val="false"/>
          <w:iCs w:val="false"/>
          <w:color w:val="232B3E"/>
          <w:sz w:val="22"/>
          <w:szCs w:val="22"/>
        </w:rPr>
        <w:t xml:space="preserve">[date]</w:t>
      </w:r>
      <w:r>
        <w:rPr>
          <w:rFonts w:ascii="Calibri" w:cs="Calibri" w:eastAsia="Calibri" w:hAnsi="Calibri"/>
          <w:b w:val="false"/>
          <w:bCs w:val="false"/>
          <w:i w:val="false"/>
          <w:iCs w:val="false"/>
          <w:color w:val="232B3E"/>
          <w:sz w:val="22"/>
          <w:szCs w:val="22"/>
        </w:rPr>
        <w:t xml:space="preserve">.</w:t>
      </w:r>
    </w:p>
    <w:p>
      <w:pPr>
        <w:spacing w:after="120"/>
      </w:pPr>
      <w:r>
        <w:rPr>
          <w:rFonts w:ascii="Calibri" w:cs="Calibri" w:eastAsia="Calibri" w:hAnsi="Calibri"/>
          <w:b w:val="false"/>
          <w:bCs w:val="false"/>
          <w:i w:val="false"/>
          <w:iCs w:val="false"/>
          <w:color w:val="232B3E"/>
          <w:sz w:val="22"/>
          <w:szCs w:val="22"/>
        </w:rPr>
        <w:t xml:space="preserve">Next review due: </w:t>
      </w:r>
      <w:r>
        <w:rPr>
          <w:rFonts w:ascii="Calibri" w:cs="Calibri" w:eastAsia="Calibri" w:hAnsi="Calibri"/>
          <w:b/>
          <w:bCs/>
          <w:i w:val="false"/>
          <w:iCs w:val="false"/>
          <w:color w:val="232B3E"/>
          <w:sz w:val="22"/>
          <w:szCs w:val="22"/>
        </w:rPr>
        <w:t xml:space="preserve">[date — we suggest yearly]</w:t>
      </w:r>
      <w:r>
        <w:rPr>
          <w:rFonts w:ascii="Calibri" w:cs="Calibri" w:eastAsia="Calibri" w:hAnsi="Calibri"/>
          <w:b w:val="false"/>
          <w:bCs w:val="false"/>
          <w:i w:val="false"/>
          <w:iCs w:val="false"/>
          <w:color w:val="232B3E"/>
          <w:sz w:val="22"/>
          <w:szCs w:val="22"/>
        </w:rPr>
        <w:t xml:space="preserve">.   Responsibility for keeping this policy up to date: </w:t>
      </w:r>
      <w:r>
        <w:rPr>
          <w:rFonts w:ascii="Calibri" w:cs="Calibri" w:eastAsia="Calibri" w:hAnsi="Calibri"/>
          <w:b/>
          <w:bCs/>
          <w:i w:val="false"/>
          <w:iCs w:val="false"/>
          <w:color w:val="232B3E"/>
          <w:sz w:val="22"/>
          <w:szCs w:val="22"/>
        </w:rPr>
        <w:t xml:space="preserve">[role, e.g. the secretary]</w:t>
      </w:r>
      <w:r>
        <w:rPr>
          <w:rFonts w:ascii="Calibri" w:cs="Calibri" w:eastAsia="Calibri" w:hAnsi="Calibri"/>
          <w:b w:val="false"/>
          <w:bCs w:val="false"/>
          <w:i w:val="false"/>
          <w:iCs w:val="false"/>
          <w:color w:val="232B3E"/>
          <w:sz w:val="22"/>
          <w:szCs w:val="22"/>
        </w:rPr>
        <w:t xml:space="preserve">.</w:t>
      </w:r>
    </w:p>
    <w:p>
      <w:pPr>
        <w:spacing w:after="120"/>
      </w:pPr>
      <w:r>
        <w:rPr>
          <w:rFonts w:ascii="Calibri" w:cs="Calibri" w:eastAsia="Calibri" w:hAnsi="Calibri"/>
          <w:b w:val="false"/>
          <w:bCs w:val="false"/>
          <w:i w:val="false"/>
          <w:iCs w:val="false"/>
          <w:color w:val="232B3E"/>
          <w:sz w:val="22"/>
          <w:szCs w:val="22"/>
        </w:rPr>
        <w:t xml:space="preserve">Signed (chair): ______________________________          Date: ________________</w:t>
      </w:r>
    </w:p>
    <w:p>
      <w:pPr>
        <w:pBdr>
          <w:top w:val="single" w:color="E0E3EE" w:sz="6"/>
        </w:pBdr>
        <w:spacing w:after="60" w:before="240"/>
      </w:pPr>
    </w:p>
    <w:p>
      <w:pPr>
        <w:spacing w:after="60" w:before="60"/>
      </w:pPr>
      <w:r>
        <w:rPr>
          <w:rFonts w:ascii="Calibri" w:cs="Calibri" w:eastAsia="Calibri" w:hAnsi="Calibri"/>
          <w:b w:val="false"/>
          <w:bCs w:val="false"/>
          <w:i w:val="false"/>
          <w:iCs w:val="false"/>
          <w:color w:val="5A6377"/>
          <w:sz w:val="18"/>
          <w:szCs w:val="18"/>
        </w:rPr>
        <w:t xml:space="preserve">Free template from </w:t>
      </w:r>
      <w:r>
        <w:rPr>
          <w:rFonts w:ascii="Calibri" w:cs="Calibri" w:eastAsia="Calibri" w:hAnsi="Calibri"/>
          <w:b/>
          <w:bCs/>
          <w:i w:val="false"/>
          <w:iCs w:val="false"/>
          <w:color w:val="5A6377"/>
          <w:sz w:val="18"/>
          <w:szCs w:val="18"/>
        </w:rPr>
        <w:t xml:space="preserve">The Committee Room</w:t>
      </w:r>
      <w:r>
        <w:rPr>
          <w:rFonts w:ascii="Calibri" w:cs="Calibri" w:eastAsia="Calibri" w:hAnsi="Calibri"/>
          <w:b w:val="false"/>
          <w:bCs w:val="false"/>
          <w:i w:val="false"/>
          <w:iCs w:val="false"/>
          <w:color w:val="5A6377"/>
          <w:sz w:val="18"/>
          <w:szCs w:val="18"/>
        </w:rPr>
        <w:t xml:space="preserve"> · thecommitteeroom.co.uk · governance support for UK charity boards. If you would like this tailored to your charity's actual activities and checked against everything else you have, that is what our Policy MOT (£79) does.</w:t>
      </w:r>
    </w:p>
    <w:sectPr>
      <w:pgSz w:w="11906" w:h="16838"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2B3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2026-07-27T10:16:46.590Z</dcterms:created>
  <dcterms:modified xsi:type="dcterms:W3CDTF">2026-07-27T10:16:46.590Z</dcterms:modified>
</cp:coreProperties>
</file>

<file path=docProps/custom.xml><?xml version="1.0" encoding="utf-8"?>
<Properties xmlns="http://schemas.openxmlformats.org/officeDocument/2006/custom-properties" xmlns:vt="http://schemas.openxmlformats.org/officeDocument/2006/docPropsVTypes"/>
</file>