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6324F"/>
          <w:spacing w:val="40"/>
          <w:sz w:val="16"/>
          <w:szCs w:val="16"/>
        </w:rPr>
        <w:t xml:space="preserve">THE COMMITTEE ROOM</w:t>
      </w:r>
    </w:p>
    <w:p>
      <w:pPr>
        <w:spacing w:after="60"/>
      </w:pPr>
      <w:r>
        <w:rPr>
          <w:b/>
          <w:bCs/>
          <w:color w:val="2F7D78"/>
          <w:spacing w:val="30"/>
          <w:sz w:val="16"/>
          <w:szCs w:val="16"/>
        </w:rPr>
        <w:t xml:space="preserve">GOVERNANCE GUIDE</w:t>
      </w:r>
    </w:p>
    <w:p>
      <w:pPr>
        <w:pBdr>
          <w:bottom w:val="single" w:color="D9E0E6" w:sz="6" w:space="8"/>
        </w:pBdr>
        <w:spacing w:after="120"/>
        <w:outlineLvl w:val="0"/>
      </w:pPr>
      <w:r>
        <w:rPr>
          <w:b/>
          <w:bCs/>
          <w:color w:val="16324F"/>
          <w:sz w:val="40"/>
          <w:szCs w:val="40"/>
        </w:rPr>
        <w:t xml:space="preserve">How to write good minutes</w:t>
      </w:r>
    </w:p>
    <w:p>
      <w:pPr>
        <w:spacing w:after="200" w:line="300"/>
      </w:pPr>
      <w:r>
        <w:rPr>
          <w:color w:val="24303A"/>
          <w:sz w:val="23"/>
          <w:szCs w:val="23"/>
        </w:rPr>
        <w:t xml:space="preserve">Minutes are the official record of what your board decided — not a word-for-word account of what everyone said. Good minutes are short, clear and focused on decisions and actions. Here is how to write them well.</w:t>
      </w:r>
    </w:p>
    <w:p>
      <w:pPr>
        <w:spacing w:after="100" w:before="260"/>
        <w:outlineLvl w:val="1"/>
      </w:pPr>
      <w:r>
        <w:rPr>
          <w:b/>
          <w:bCs/>
          <w:color w:val="16324F"/>
          <w:sz w:val="28"/>
          <w:szCs w:val="28"/>
        </w:rPr>
        <w:t xml:space="preserve">What minutes are actually for</w:t>
      </w:r>
    </w:p>
    <w:p>
      <w:pPr>
        <w:spacing w:after="160" w:line="276"/>
      </w:pPr>
      <w:r>
        <w:rPr>
          <w:color w:val="24303A"/>
          <w:sz w:val="22"/>
          <w:szCs w:val="22"/>
        </w:rPr>
        <w:t xml:space="preserve">Minutes are the formal governance record of the charity. Charity trustees have a duty to keep proper records of their decisions, and the minutes are the main evidence that the board acted properly, considered the right things, and reached its decisions honestly. They also provide continuity: a new trustee, an auditor, a funder or the Charity Commission should be able to pick up the minute book and understand how and why the charity made its choices.</w:t>
      </w:r>
    </w:p>
    <w:p>
      <w:pPr>
        <w:spacing w:after="160" w:line="276"/>
      </w:pPr>
      <w:r>
        <w:rPr>
          <w:color w:val="24303A"/>
          <w:sz w:val="22"/>
          <w:szCs w:val="22"/>
        </w:rPr>
        <w:t xml:space="preserve">Because they are a record of decisions, the test of a good set of minutes is simple: could someone who was not in the room understand what was decided, who is doing what, and why — without having to ask?</w:t>
      </w:r>
    </w:p>
    <w:p>
      <w:pPr>
        <w:spacing w:after="100" w:before="260"/>
        <w:outlineLvl w:val="1"/>
      </w:pPr>
      <w:r>
        <w:rPr>
          <w:b/>
          <w:bCs/>
          <w:color w:val="16324F"/>
          <w:sz w:val="28"/>
          <w:szCs w:val="28"/>
        </w:rPr>
        <w:t xml:space="preserve">Minutes are not a transcript</w:t>
      </w:r>
    </w:p>
    <w:p>
      <w:pPr>
        <w:spacing w:after="160" w:line="276"/>
      </w:pPr>
      <w:r>
        <w:rPr>
          <w:color w:val="24303A"/>
          <w:sz w:val="22"/>
          <w:szCs w:val="22"/>
        </w:rPr>
        <w:t xml:space="preserve">The most common mistake is trying to capture everything. You do not need to record every comment or attribute every remark. You need to record the decisions and enough of the reasoning behind them to show the board applied its mind. Summarise the discussion in a sentence or two, then state the decision clearly.</w:t>
      </w:r>
    </w:p>
    <w:p>
      <w:pPr>
        <w:spacing w:after="100" w:before="260"/>
        <w:outlineLvl w:val="1"/>
      </w:pPr>
      <w:r>
        <w:rPr>
          <w:b/>
          <w:bCs/>
          <w:color w:val="16324F"/>
          <w:sz w:val="28"/>
          <w:szCs w:val="28"/>
        </w:rPr>
        <w:t xml:space="preserve">What to include</w:t>
      </w:r>
    </w:p>
    <w:p>
      <w:pPr>
        <w:pStyle w:val="ListParagraph"/>
        <w:numPr>
          <w:ilvl w:val="0"/>
          <w:numId w:val="2"/>
        </w:numPr>
        <w:spacing w:after="80" w:line="276"/>
      </w:pPr>
      <w:r>
        <w:rPr>
          <w:b/>
          <w:bCs/>
          <w:color w:val="24303A"/>
          <w:sz w:val="22"/>
          <w:szCs w:val="22"/>
        </w:rPr>
        <w:t xml:space="preserve">The basics: </w:t>
      </w:r>
      <w:r>
        <w:rPr>
          <w:color w:val="24303A"/>
          <w:sz w:val="22"/>
          <w:szCs w:val="22"/>
        </w:rPr>
        <w:t xml:space="preserve">date, time and place of the meeting; who was present; apologies; and confirmation that the meeting was quorate.</w:t>
      </w:r>
    </w:p>
    <w:p>
      <w:pPr>
        <w:pStyle w:val="ListParagraph"/>
        <w:numPr>
          <w:ilvl w:val="0"/>
          <w:numId w:val="2"/>
        </w:numPr>
        <w:spacing w:after="80" w:line="276"/>
      </w:pPr>
      <w:r>
        <w:rPr>
          <w:b/>
          <w:bCs/>
          <w:color w:val="24303A"/>
          <w:sz w:val="22"/>
          <w:szCs w:val="22"/>
        </w:rPr>
        <w:t xml:space="preserve">Conflicts of interest: </w:t>
      </w:r>
      <w:r>
        <w:rPr>
          <w:color w:val="24303A"/>
          <w:sz w:val="22"/>
          <w:szCs w:val="22"/>
        </w:rPr>
        <w:t xml:space="preserve">any declared, and how they were handled (for example, a trustee leaving the room and not voting).</w:t>
      </w:r>
    </w:p>
    <w:p>
      <w:pPr>
        <w:pStyle w:val="ListParagraph"/>
        <w:numPr>
          <w:ilvl w:val="0"/>
          <w:numId w:val="2"/>
        </w:numPr>
        <w:spacing w:after="80" w:line="276"/>
      </w:pPr>
      <w:r>
        <w:rPr>
          <w:b/>
          <w:bCs/>
          <w:color w:val="24303A"/>
          <w:sz w:val="22"/>
          <w:szCs w:val="22"/>
        </w:rPr>
        <w:t xml:space="preserve">Each agenda item: </w:t>
      </w:r>
      <w:r>
        <w:rPr>
          <w:color w:val="24303A"/>
          <w:sz w:val="22"/>
          <w:szCs w:val="22"/>
        </w:rPr>
        <w:t xml:space="preserve">a brief summary of the discussion, the decision reached, and — where useful — the reasons for it.</w:t>
      </w:r>
    </w:p>
    <w:p>
      <w:pPr>
        <w:pStyle w:val="ListParagraph"/>
        <w:numPr>
          <w:ilvl w:val="0"/>
          <w:numId w:val="2"/>
        </w:numPr>
        <w:spacing w:after="80" w:line="276"/>
      </w:pPr>
      <w:r>
        <w:rPr>
          <w:b/>
          <w:bCs/>
          <w:color w:val="24303A"/>
          <w:sz w:val="22"/>
          <w:szCs w:val="22"/>
        </w:rPr>
        <w:t xml:space="preserve">Actions: </w:t>
      </w:r>
      <w:r>
        <w:rPr>
          <w:color w:val="24303A"/>
          <w:sz w:val="22"/>
          <w:szCs w:val="22"/>
        </w:rPr>
        <w:t xml:space="preserve">what will be done, who is responsible, and by when.</w:t>
      </w:r>
    </w:p>
    <w:p>
      <w:pPr>
        <w:pStyle w:val="ListParagraph"/>
        <w:numPr>
          <w:ilvl w:val="0"/>
          <w:numId w:val="2"/>
        </w:numPr>
        <w:spacing w:after="80" w:line="276"/>
      </w:pPr>
      <w:r>
        <w:rPr>
          <w:b/>
          <w:bCs/>
          <w:color w:val="24303A"/>
          <w:sz w:val="22"/>
          <w:szCs w:val="22"/>
        </w:rPr>
        <w:t xml:space="preserve">Housekeeping: </w:t>
      </w:r>
      <w:r>
        <w:rPr>
          <w:color w:val="24303A"/>
          <w:sz w:val="22"/>
          <w:szCs w:val="22"/>
        </w:rPr>
        <w:t xml:space="preserve">the time the meeting closed and the date of the next meeting.</w:t>
      </w:r>
    </w:p>
    <w:p>
      <w:pPr>
        <w:spacing w:after="100" w:before="260"/>
        <w:outlineLvl w:val="1"/>
      </w:pPr>
      <w:r>
        <w:rPr>
          <w:b/>
          <w:bCs/>
          <w:color w:val="16324F"/>
          <w:sz w:val="28"/>
          <w:szCs w:val="28"/>
        </w:rPr>
        <w:t xml:space="preserve">What to leave out — and what to keep in</w:t>
      </w:r>
    </w:p>
    <w:p>
      <w:pPr>
        <w:spacing w:after="160" w:line="276"/>
      </w:pPr>
      <w:r>
        <w:rPr>
          <w:color w:val="24303A"/>
          <w:sz w:val="22"/>
          <w:szCs w:val="22"/>
        </w:rPr>
        <w:t xml:space="preserve">Leave out verbatim debate and any unnecessary personal, inflammatory or speculative remarks. But do not confuse that with leaving out anything difficult: material concerns, challenges, conflicts of interest and the reasons behind decisions should all be recorded accurately and neutrally, even when the subject is uncomfortable — omitting them can be worse than including them.</w:t>
      </w:r>
    </w:p>
    <w:p>
      <w:pPr>
        <w:spacing w:after="160" w:line="276"/>
      </w:pPr>
      <w:r>
        <w:rPr>
          <w:color w:val="24303A"/>
          <w:sz w:val="22"/>
          <w:szCs w:val="22"/>
        </w:rPr>
        <w:t xml:space="preserve">Minutes are not normally public documents, but they can have to be disclosed — to the charity’s members, to a regulator, or to a court — in certain circumstances, so write them as a fair and objective record. If a vote was close, or a trustee asked to be recorded as dissenting, note that plainly, but there is no need to attribute every view.</w:t>
      </w:r>
    </w:p>
    <w:p>
      <w:pPr>
        <w:spacing w:after="100" w:before="260"/>
        <w:outlineLvl w:val="1"/>
      </w:pPr>
      <w:r>
        <w:rPr>
          <w:b/>
          <w:bCs/>
          <w:color w:val="16324F"/>
          <w:sz w:val="28"/>
          <w:szCs w:val="28"/>
        </w:rPr>
        <w:t xml:space="preserve">Recording decisions clearly</w:t>
      </w:r>
    </w:p>
    <w:p>
      <w:pPr>
        <w:spacing w:after="160" w:line="276"/>
      </w:pPr>
      <w:r>
        <w:rPr>
          <w:color w:val="24303A"/>
          <w:sz w:val="22"/>
          <w:szCs w:val="22"/>
        </w:rPr>
        <w:t xml:space="preserve">Make decisions easy to find. Many boards use a consistent phrase such as “It was resolved that …” and, where it matters, note whether the decision was unanimous or the numbers for and against. Record any abstentions, and note where a conflicted trustee took no part.</w:t>
      </w:r>
    </w:p>
    <w:p>
      <w:pPr>
        <w:spacing w:after="100" w:before="260"/>
        <w:outlineLvl w:val="1"/>
      </w:pPr>
      <w:r>
        <w:rPr>
          <w:b/>
          <w:bCs/>
          <w:color w:val="16324F"/>
          <w:sz w:val="28"/>
          <w:szCs w:val="28"/>
        </w:rPr>
        <w:t xml:space="preserve">A simple workflow that works</w:t>
      </w:r>
    </w:p>
    <w:p>
      <w:pPr>
        <w:pStyle w:val="ListParagraph"/>
        <w:numPr>
          <w:ilvl w:val="0"/>
          <w:numId w:val="2"/>
        </w:numPr>
        <w:spacing w:after="80" w:line="276"/>
      </w:pPr>
      <w:r>
        <w:rPr>
          <w:color w:val="24303A"/>
          <w:sz w:val="22"/>
          <w:szCs w:val="22"/>
        </w:rPr>
        <w:t xml:space="preserve">Use the agenda as the skeleton — the minutes follow the same order, which makes them quick to write and easy to follow.</w:t>
      </w:r>
    </w:p>
    <w:p>
      <w:pPr>
        <w:pStyle w:val="ListParagraph"/>
        <w:numPr>
          <w:ilvl w:val="0"/>
          <w:numId w:val="2"/>
        </w:numPr>
        <w:spacing w:after="80" w:line="276"/>
      </w:pPr>
      <w:r>
        <w:rPr>
          <w:color w:val="24303A"/>
          <w:sz w:val="22"/>
          <w:szCs w:val="22"/>
        </w:rPr>
        <w:t xml:space="preserve">Write them up within a few days, while the meeting is fresh.</w:t>
      </w:r>
    </w:p>
    <w:p>
      <w:pPr>
        <w:pStyle w:val="ListParagraph"/>
        <w:numPr>
          <w:ilvl w:val="0"/>
          <w:numId w:val="2"/>
        </w:numPr>
        <w:spacing w:after="80" w:line="276"/>
      </w:pPr>
      <w:r>
        <w:rPr>
          <w:color w:val="24303A"/>
          <w:sz w:val="22"/>
          <w:szCs w:val="22"/>
        </w:rPr>
        <w:t xml:space="preserve">Circulate a draft, clearly marked “draft”, so trustees can flag anything they remember differently.</w:t>
      </w:r>
    </w:p>
    <w:p>
      <w:pPr>
        <w:pStyle w:val="ListParagraph"/>
        <w:numPr>
          <w:ilvl w:val="0"/>
          <w:numId w:val="2"/>
        </w:numPr>
        <w:spacing w:after="80" w:line="276"/>
      </w:pPr>
      <w:r>
        <w:rPr>
          <w:color w:val="24303A"/>
          <w:sz w:val="22"/>
          <w:szCs w:val="22"/>
        </w:rPr>
        <w:t xml:space="preserve">Approve them at the next meeting as a correct record, and have the chair sign the approved version. Your governing document may set out the exact procedure, so follow that where it does.</w:t>
      </w:r>
    </w:p>
    <w:p>
      <w:pPr>
        <w:spacing w:after="100" w:before="260"/>
        <w:outlineLvl w:val="1"/>
      </w:pPr>
      <w:r>
        <w:rPr>
          <w:b/>
          <w:bCs/>
          <w:color w:val="16324F"/>
          <w:sz w:val="28"/>
          <w:szCs w:val="28"/>
        </w:rPr>
        <w:t xml:space="preserve">How long to keep them</w:t>
      </w:r>
    </w:p>
    <w:p>
      <w:pPr>
        <w:spacing w:after="160" w:line="276"/>
      </w:pPr>
      <w:r>
        <w:rPr>
          <w:color w:val="24303A"/>
          <w:sz w:val="22"/>
          <w:szCs w:val="22"/>
        </w:rPr>
        <w:t xml:space="preserve">Keep approved minutes for at least the period your legal structure requires — generally six years for trusts, unincorporated associations and CIOs, and ten years for the board minutes of a charitable company. Many charities choose to keep their board minutes permanently because of their long-term governance value, but that is a matter of policy rather than a universal legal rule. Store them consistently, whether on paper or securely online, so they can always be found.</w:t>
      </w:r>
    </w:p>
    <w:p>
      <w:pPr>
        <w:spacing w:after="100" w:before="260"/>
        <w:outlineLvl w:val="1"/>
      </w:pPr>
      <w:r>
        <w:rPr>
          <w:b/>
          <w:bCs/>
          <w:color w:val="16324F"/>
          <w:sz w:val="28"/>
          <w:szCs w:val="28"/>
        </w:rPr>
        <w:t xml:space="preserve">Common pitfalls to avoid</w:t>
      </w:r>
    </w:p>
    <w:p>
      <w:pPr>
        <w:spacing w:after="160" w:line="276"/>
      </w:pPr>
      <w:r>
        <w:rPr>
          <w:color w:val="24303A"/>
          <w:sz w:val="22"/>
          <w:szCs w:val="22"/>
        </w:rPr>
        <w:t xml:space="preserve">Watch for minutes that are too long to be read, minutes that record discussion but not the actual decision, action points with no owner or deadline, and long gaps before minutes are written up. Each of these quietly undermines the value of the record — and all of them are easy to fix with a little discipline.</w:t>
      </w:r>
    </w:p>
    <w:p>
      <w:pPr>
        <w:pBdr>
          <w:top w:val="single" w:color="E2E7EC" w:sz="4" w:space="10"/>
        </w:pBdr>
        <w:spacing w:before="300" w:line="240"/>
      </w:pPr>
      <w:r>
        <w:rPr>
          <w:i/>
          <w:iCs/>
          <w:color w:val="5A6774"/>
          <w:sz w:val="18"/>
          <w:szCs w:val="18"/>
        </w:rPr>
        <w:t xml:space="preserve">This guide is general information for trustees and committee members, not legal or financial advice, and every charity is different. Rules can change, so always confirm the current position with the relevant regulator or a suitably qualified adviser before acting. Last reviewed July 2026.</w:t>
      </w:r>
    </w:p>
    <w:p>
      <w:pPr>
        <w:spacing w:before="120"/>
      </w:pPr>
      <w:r>
        <w:rPr>
          <w:color w:val="5A6774"/>
          <w:sz w:val="16"/>
          <w:szCs w:val="16"/>
        </w:rPr>
        <w:t xml:space="preserve">The Committee Room · Governance support for UK charity boards &amp; committees · hello@thecommitteeroom.co.uk</w:t>
      </w:r>
    </w:p>
    <w:sectPr>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2F7D78"/>
      </w:rPr>
    </w:lvl>
  </w:abstractNum>
  <w:abstractNum w:abstractNumId="3" w15:restartNumberingAfterBreak="0">
    <w:multiLevelType w:val="hybridMultilevel"/>
    <w:lvl w:ilvl="0" w15:tentative="1">
      <w:start w:val="1"/>
      <w:numFmt w:val="decimal"/>
      <w:lvlText w:val="%1."/>
      <w:lvlJc w:val="left"/>
      <w:pPr>
        <w:ind w:left="460" w:hanging="360"/>
      </w:pPr>
      <w:rPr>
        <w:b/>
        <w:bCs/>
        <w:color w:val="1632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4303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Committee Room</dc:creator>
  <cp:lastModifiedBy>Un-named</cp:lastModifiedBy>
  <cp:revision>1</cp:revision>
  <dcterms:created xsi:type="dcterms:W3CDTF">2026-07-22T19:34:24.559Z</dcterms:created>
  <dcterms:modified xsi:type="dcterms:W3CDTF">2026-07-22T19:34:24.561Z</dcterms:modified>
</cp:coreProperties>
</file>

<file path=docProps/custom.xml><?xml version="1.0" encoding="utf-8"?>
<Properties xmlns="http://schemas.openxmlformats.org/officeDocument/2006/custom-properties" xmlns:vt="http://schemas.openxmlformats.org/officeDocument/2006/docPropsVTypes"/>
</file>