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b/>
          <w:i w:val="0"/>
          <w:color w:val="1C2A4E"/>
          <w:sz w:val="20"/>
        </w:rPr>
        <w:t>THE COMMITTEE ROOM   ·   GOVERNANCE TEMPLATE</w:t>
      </w:r>
    </w:p>
    <w:p>
      <w:pPr>
        <w:spacing w:after="80"/>
      </w:pPr>
      <w:r>
        <w:rPr>
          <w:rFonts w:ascii="Calibri" w:hAnsi="Calibri"/>
          <w:b/>
          <w:i w:val="0"/>
          <w:color w:val="1C2A4E"/>
          <w:sz w:val="40"/>
        </w:rPr>
        <w:t>Safeguarding policy</w:t>
      </w:r>
    </w:p>
    <w:p>
      <w:pPr>
        <w:spacing w:after="200"/>
      </w:pPr>
      <w:r>
        <w:rPr>
          <w:rFonts w:ascii="Calibri" w:hAnsi="Calibri"/>
          <w:b w:val="0"/>
          <w:i w:val="0"/>
          <w:color w:val="5A6377"/>
          <w:sz w:val="18"/>
        </w:rPr>
        <w:t>For: [charity name] · Registered charity no. [number, if registered] · Version [1] · [date]</w:t>
      </w:r>
    </w:p>
    <w:p>
      <w:pPr>
        <w:spacing w:after="280"/>
      </w:pPr>
      <w:r>
        <w:rPr>
          <w:rFonts w:ascii="Calibri" w:hAnsi="Calibri"/>
          <w:b/>
          <w:i w:val="0"/>
          <w:color w:val="232B3E"/>
          <w:sz w:val="20"/>
        </w:rPr>
        <w:t>How to use this template: replace everything in [square brackets], delete anything that does not apply to your charity, and take it to your board for adoption. This is a starting point for a small charity, not a substitute for specialist safeguarding advice where your work carries higher risk.</w:t>
      </w:r>
    </w:p>
    <w:p>
      <w:pPr>
        <w:spacing w:after="80"/>
      </w:pPr>
      <w:r>
        <w:rPr>
          <w:rFonts w:ascii="Calibri" w:hAnsi="Calibri"/>
          <w:b/>
          <w:i w:val="0"/>
          <w:color w:val="1C2A4E"/>
          <w:sz w:val="26"/>
        </w:rPr>
        <w:t>1. Our commitment</w:t>
      </w:r>
    </w:p>
    <w:p>
      <w:pPr>
        <w:spacing w:after="160"/>
      </w:pPr>
      <w:r>
        <w:rPr>
          <w:rFonts w:ascii="Calibri" w:hAnsi="Calibri"/>
          <w:b w:val="0"/>
          <w:i w:val="0"/>
          <w:color w:val="232B3E"/>
          <w:sz w:val="22"/>
        </w:rPr>
        <w:t>[Charity name] is committed to keeping children and adults at risk safe. Everyone who comes into contact with our work has the right to be protected from harm, abuse and neglect. Safeguarding is the responsibility of every trustee, member of staff and volunteer, not only of the people named in this policy.</w:t>
      </w:r>
    </w:p>
    <w:p>
      <w:pPr>
        <w:spacing w:after="160"/>
      </w:pPr>
      <w:r>
        <w:rPr>
          <w:rFonts w:ascii="Calibri" w:hAnsi="Calibri"/>
          <w:b w:val="0"/>
          <w:i w:val="0"/>
          <w:color w:val="232B3E"/>
          <w:sz w:val="22"/>
        </w:rPr>
        <w:t>The trustees have overall legal responsibility for safeguarding in this charity. We will not treat safeguarding as a formality: we will act on concerns, record what we did, and report where we are required to.</w:t>
      </w:r>
    </w:p>
    <w:p>
      <w:pPr>
        <w:spacing w:after="80"/>
      </w:pPr>
      <w:r>
        <w:rPr>
          <w:rFonts w:ascii="Calibri" w:hAnsi="Calibri"/>
          <w:b/>
          <w:i w:val="0"/>
          <w:color w:val="1C2A4E"/>
          <w:sz w:val="26"/>
        </w:rPr>
        <w:t>2. Who this policy applies to</w:t>
      </w:r>
    </w:p>
    <w:p>
      <w:pPr>
        <w:spacing w:after="160"/>
      </w:pPr>
      <w:r>
        <w:rPr>
          <w:rFonts w:ascii="Calibri" w:hAnsi="Calibri"/>
          <w:b w:val="0"/>
          <w:i w:val="0"/>
          <w:color w:val="232B3E"/>
          <w:sz w:val="22"/>
        </w:rPr>
        <w:t>All trustees, staff, volunteers, sessional workers, agency staff, students and anyone else acting on behalf of [charity name], including contractors working with our beneficiaries.</w:t>
      </w:r>
    </w:p>
    <w:p>
      <w:pPr>
        <w:spacing w:after="80"/>
      </w:pPr>
      <w:r>
        <w:rPr>
          <w:rFonts w:ascii="Calibri" w:hAnsi="Calibri"/>
          <w:b/>
          <w:i w:val="0"/>
          <w:color w:val="1C2A4E"/>
          <w:sz w:val="26"/>
        </w:rPr>
        <w:t>3. What we mean by safeguarding</w:t>
      </w:r>
    </w:p>
    <w:p>
      <w:pPr>
        <w:spacing w:after="160"/>
      </w:pPr>
      <w:r>
        <w:rPr>
          <w:rFonts w:ascii="Calibri" w:hAnsi="Calibri"/>
          <w:b w:val="0"/>
          <w:i w:val="0"/>
          <w:color w:val="232B3E"/>
          <w:sz w:val="22"/>
        </w:rPr>
        <w:t>Safeguarding means protecting people from abuse, harm and neglect, and acting to promote their welfare. Forms of abuse include, but are not limited to:</w:t>
      </w:r>
    </w:p>
    <w:p>
      <w:pPr>
        <w:pStyle w:val="ListParagraph"/>
        <w:spacing w:after="80"/>
      </w:pPr>
      <w:r>
        <w:rPr>
          <w:rFonts w:ascii="Calibri" w:hAnsi="Calibri"/>
          <w:b w:val="0"/>
          <w:i w:val="0"/>
          <w:color w:val="232B3E"/>
          <w:sz w:val="22"/>
        </w:rPr>
        <w:t>Physical abuse, including inappropriate restraint.</w:t>
      </w:r>
    </w:p>
    <w:p>
      <w:pPr>
        <w:pStyle w:val="ListParagraph"/>
        <w:spacing w:after="80"/>
      </w:pPr>
      <w:r>
        <w:rPr>
          <w:rFonts w:ascii="Calibri" w:hAnsi="Calibri"/>
          <w:b w:val="0"/>
          <w:i w:val="0"/>
          <w:color w:val="232B3E"/>
          <w:sz w:val="22"/>
        </w:rPr>
        <w:t>Emotional or psychological abuse, including bullying, intimidation and coercive control.</w:t>
      </w:r>
    </w:p>
    <w:p>
      <w:pPr>
        <w:pStyle w:val="ListParagraph"/>
        <w:spacing w:after="80"/>
      </w:pPr>
      <w:r>
        <w:rPr>
          <w:rFonts w:ascii="Calibri" w:hAnsi="Calibri"/>
          <w:b w:val="0"/>
          <w:i w:val="0"/>
          <w:color w:val="232B3E"/>
          <w:sz w:val="22"/>
        </w:rPr>
        <w:t>Sexual abuse, exploitation and grooming, including online.</w:t>
      </w:r>
    </w:p>
    <w:p>
      <w:pPr>
        <w:pStyle w:val="ListParagraph"/>
        <w:spacing w:after="80"/>
      </w:pPr>
      <w:r>
        <w:rPr>
          <w:rFonts w:ascii="Calibri" w:hAnsi="Calibri"/>
          <w:b w:val="0"/>
          <w:i w:val="0"/>
          <w:color w:val="232B3E"/>
          <w:sz w:val="22"/>
        </w:rPr>
        <w:t>Neglect, including failure to provide care, supervision or basic needs.</w:t>
      </w:r>
    </w:p>
    <w:p>
      <w:pPr>
        <w:pStyle w:val="ListParagraph"/>
        <w:spacing w:after="80"/>
      </w:pPr>
      <w:r>
        <w:rPr>
          <w:rFonts w:ascii="Calibri" w:hAnsi="Calibri"/>
          <w:b w:val="0"/>
          <w:i w:val="0"/>
          <w:color w:val="232B3E"/>
          <w:sz w:val="22"/>
        </w:rPr>
        <w:t>Financial or material abuse, including theft, fraud and undue pressure over money or property.</w:t>
      </w:r>
    </w:p>
    <w:p>
      <w:pPr>
        <w:pStyle w:val="ListParagraph"/>
        <w:spacing w:after="80"/>
      </w:pPr>
      <w:r>
        <w:rPr>
          <w:rFonts w:ascii="Calibri" w:hAnsi="Calibri"/>
          <w:b w:val="0"/>
          <w:i w:val="0"/>
          <w:color w:val="232B3E"/>
          <w:sz w:val="22"/>
        </w:rPr>
        <w:t>Discriminatory abuse, including harassment on the basis of a protected characteristic.</w:t>
      </w:r>
    </w:p>
    <w:p>
      <w:pPr>
        <w:pStyle w:val="ListParagraph"/>
        <w:spacing w:after="80"/>
      </w:pPr>
      <w:r>
        <w:rPr>
          <w:rFonts w:ascii="Calibri" w:hAnsi="Calibri"/>
          <w:b w:val="0"/>
          <w:i w:val="0"/>
          <w:color w:val="232B3E"/>
          <w:sz w:val="22"/>
        </w:rPr>
        <w:t>Domestic abuse, modern slavery, radicalisation and self-neglect.</w:t>
      </w:r>
    </w:p>
    <w:p>
      <w:pPr>
        <w:spacing w:after="160"/>
      </w:pPr>
      <w:r>
        <w:rPr>
          <w:rFonts w:ascii="Calibri" w:hAnsi="Calibri"/>
          <w:b w:val="0"/>
          <w:i w:val="0"/>
          <w:color w:val="232B3E"/>
          <w:sz w:val="22"/>
        </w:rPr>
        <w:t>An "adult at risk" is an adult who, because of their needs for care and support, is less able to protect themselves from abuse or neglect. A child is anyone under 18.</w:t>
      </w:r>
    </w:p>
    <w:p>
      <w:pPr>
        <w:spacing w:after="80"/>
      </w:pPr>
      <w:r>
        <w:rPr>
          <w:rFonts w:ascii="Calibri" w:hAnsi="Calibri"/>
          <w:b/>
          <w:i w:val="0"/>
          <w:color w:val="1C2A4E"/>
          <w:sz w:val="26"/>
        </w:rPr>
        <w:t>4. Who is responsible</w:t>
      </w:r>
    </w:p>
    <w:p>
      <w:pPr>
        <w:spacing w:after="160"/>
      </w:pPr>
      <w:r>
        <w:rPr>
          <w:rFonts w:ascii="Calibri" w:hAnsi="Calibri"/>
          <w:b w:val="0"/>
          <w:i w:val="0"/>
          <w:color w:val="232B3E"/>
          <w:sz w:val="22"/>
        </w:rPr>
        <w:t>Designated Safeguarding Lead (DSL): [name, role, phone, email]. The DSL is the first point of contact for any concern, keeps the safeguarding record, and makes referrals to statutory agencies.</w:t>
      </w:r>
    </w:p>
    <w:p>
      <w:pPr>
        <w:spacing w:after="160"/>
      </w:pPr>
      <w:r>
        <w:rPr>
          <w:rFonts w:ascii="Calibri" w:hAnsi="Calibri"/>
          <w:b w:val="0"/>
          <w:i w:val="0"/>
          <w:color w:val="232B3E"/>
          <w:sz w:val="22"/>
        </w:rPr>
        <w:t>Deputy DSL: [name, role, phone, email]. Acts when the DSL is unavailable, or where the concern involves the DSL.</w:t>
      </w:r>
    </w:p>
    <w:p>
      <w:pPr>
        <w:spacing w:after="160"/>
      </w:pPr>
      <w:r>
        <w:rPr>
          <w:rFonts w:ascii="Calibri" w:hAnsi="Calibri"/>
          <w:b w:val="0"/>
          <w:i w:val="0"/>
          <w:color w:val="232B3E"/>
          <w:sz w:val="22"/>
        </w:rPr>
        <w:t>Trustee with safeguarding oversight: [name]. Brings safeguarding to the board, makes sure this policy is reviewed, and checks that concerns are being handled properly. This person does not handle day-to-day cases.</w:t>
      </w:r>
    </w:p>
    <w:p>
      <w:pPr>
        <w:spacing w:after="160"/>
      </w:pPr>
      <w:r>
        <w:rPr>
          <w:rFonts w:ascii="Calibri" w:hAnsi="Calibri"/>
          <w:b w:val="0"/>
          <w:i w:val="0"/>
          <w:color w:val="232B3E"/>
          <w:sz w:val="22"/>
        </w:rPr>
        <w:t>Safeguarding is a standing item on the agenda of every [board / quarterly] meeting.</w:t>
      </w:r>
    </w:p>
    <w:p>
      <w:pPr>
        <w:spacing w:after="80"/>
      </w:pPr>
      <w:r>
        <w:rPr>
          <w:rFonts w:ascii="Calibri" w:hAnsi="Calibri"/>
          <w:b/>
          <w:i w:val="0"/>
          <w:color w:val="1C2A4E"/>
          <w:sz w:val="26"/>
        </w:rPr>
        <w:t>5. Safer recruitment</w:t>
      </w:r>
    </w:p>
    <w:p>
      <w:pPr>
        <w:pStyle w:val="ListParagraph"/>
        <w:spacing w:after="80"/>
      </w:pPr>
      <w:r>
        <w:rPr>
          <w:rFonts w:ascii="Calibri" w:hAnsi="Calibri"/>
          <w:b w:val="0"/>
          <w:i w:val="0"/>
          <w:color w:val="232B3E"/>
          <w:sz w:val="22"/>
        </w:rPr>
        <w:t>We advertise roles with a clear description of the contact the role involves with children or adults at risk.</w:t>
      </w:r>
    </w:p>
    <w:p>
      <w:pPr>
        <w:pStyle w:val="ListParagraph"/>
        <w:spacing w:after="80"/>
      </w:pPr>
      <w:r>
        <w:rPr>
          <w:rFonts w:ascii="Calibri" w:hAnsi="Calibri"/>
          <w:b w:val="0"/>
          <w:i w:val="0"/>
          <w:color w:val="232B3E"/>
          <w:sz w:val="22"/>
        </w:rPr>
        <w:t>We take up [two] references for all roles working with children or adults at risk, and we check them.</w:t>
      </w:r>
    </w:p>
    <w:p>
      <w:pPr>
        <w:pStyle w:val="ListParagraph"/>
        <w:spacing w:after="80"/>
      </w:pPr>
      <w:r>
        <w:rPr>
          <w:rFonts w:ascii="Calibri" w:hAnsi="Calibri"/>
          <w:b w:val="0"/>
          <w:i w:val="0"/>
          <w:color w:val="232B3E"/>
          <w:sz w:val="22"/>
        </w:rPr>
        <w:t>We carry out DBS checks (Disclosure Scotland / AccessNI where applicable) at the level the role is legally eligible for, and we do not ask for checks a role is not eligible for.</w:t>
      </w:r>
    </w:p>
    <w:p>
      <w:pPr>
        <w:pStyle w:val="ListParagraph"/>
        <w:spacing w:after="80"/>
      </w:pPr>
      <w:r>
        <w:rPr>
          <w:rFonts w:ascii="Calibri" w:hAnsi="Calibri"/>
          <w:b w:val="0"/>
          <w:i w:val="0"/>
          <w:color w:val="232B3E"/>
          <w:sz w:val="22"/>
        </w:rPr>
        <w:t>We verify identity and, where relevant, qualifications and right to work.</w:t>
      </w:r>
    </w:p>
    <w:p>
      <w:pPr>
        <w:pStyle w:val="ListParagraph"/>
        <w:spacing w:after="80"/>
      </w:pPr>
      <w:r>
        <w:rPr>
          <w:rFonts w:ascii="Calibri" w:hAnsi="Calibri"/>
          <w:b w:val="0"/>
          <w:i w:val="0"/>
          <w:color w:val="232B3E"/>
          <w:sz w:val="22"/>
        </w:rPr>
        <w:t>All trustees sign a declaration that they are not disqualified from acting.</w:t>
      </w:r>
    </w:p>
    <w:p>
      <w:pPr>
        <w:pStyle w:val="ListParagraph"/>
        <w:spacing w:after="80"/>
      </w:pPr>
      <w:r>
        <w:rPr>
          <w:rFonts w:ascii="Calibri" w:hAnsi="Calibri"/>
          <w:b w:val="0"/>
          <w:i w:val="0"/>
          <w:color w:val="232B3E"/>
          <w:sz w:val="22"/>
        </w:rPr>
        <w:t>New starters receive a safeguarding induction before they begin work with beneficiaries.</w:t>
      </w:r>
    </w:p>
    <w:p>
      <w:pPr>
        <w:spacing w:after="80"/>
      </w:pPr>
      <w:r>
        <w:rPr>
          <w:rFonts w:ascii="Calibri" w:hAnsi="Calibri"/>
          <w:b/>
          <w:i w:val="0"/>
          <w:color w:val="1C2A4E"/>
          <w:sz w:val="26"/>
        </w:rPr>
        <w:t>6. Reporting a concern</w:t>
      </w:r>
    </w:p>
    <w:p>
      <w:pPr>
        <w:spacing w:after="160"/>
      </w:pPr>
      <w:r>
        <w:rPr>
          <w:rFonts w:ascii="Calibri" w:hAnsi="Calibri"/>
          <w:b w:val="0"/>
          <w:i w:val="0"/>
          <w:color w:val="232B3E"/>
          <w:sz w:val="22"/>
        </w:rPr>
        <w:t>Anyone who has a safeguarding concern must report it to the DSL the same day. Do not investigate it yourself, and do not promise confidentiality you cannot keep.</w:t>
      </w:r>
    </w:p>
    <w:p>
      <w:pPr>
        <w:pStyle w:val="ListParagraph"/>
        <w:spacing w:after="80"/>
      </w:pPr>
      <w:r>
        <w:rPr>
          <w:rFonts w:ascii="Calibri" w:hAnsi="Calibri"/>
          <w:b w:val="0"/>
          <w:i w:val="0"/>
          <w:color w:val="232B3E"/>
          <w:sz w:val="22"/>
        </w:rPr>
        <w:t>If someone is in immediate danger, call 999 first.</w:t>
      </w:r>
    </w:p>
    <w:p>
      <w:pPr>
        <w:pStyle w:val="ListParagraph"/>
        <w:spacing w:after="80"/>
      </w:pPr>
      <w:r>
        <w:rPr>
          <w:rFonts w:ascii="Calibri" w:hAnsi="Calibri"/>
          <w:b w:val="0"/>
          <w:i w:val="0"/>
          <w:color w:val="232B3E"/>
          <w:sz w:val="22"/>
        </w:rPr>
        <w:t>Write down what you saw or were told, in the words used, as soon as you can, and sign and date it.</w:t>
      </w:r>
    </w:p>
    <w:p>
      <w:pPr>
        <w:pStyle w:val="ListParagraph"/>
        <w:spacing w:after="80"/>
      </w:pPr>
      <w:r>
        <w:rPr>
          <w:rFonts w:ascii="Calibri" w:hAnsi="Calibri"/>
          <w:b w:val="0"/>
          <w:i w:val="0"/>
          <w:color w:val="232B3E"/>
          <w:sz w:val="22"/>
        </w:rPr>
        <w:t>Pass it to the DSL. If the concern is about the DSL, pass it to the Deputy DSL or the trustee with safeguarding oversight.</w:t>
      </w:r>
    </w:p>
    <w:p>
      <w:pPr>
        <w:pStyle w:val="ListParagraph"/>
        <w:spacing w:after="80"/>
      </w:pPr>
      <w:r>
        <w:rPr>
          <w:rFonts w:ascii="Calibri" w:hAnsi="Calibri"/>
          <w:b w:val="0"/>
          <w:i w:val="0"/>
          <w:color w:val="232B3E"/>
          <w:sz w:val="22"/>
        </w:rPr>
        <w:t>The DSL decides, and records, whether to refer to [local authority adult or children’s social care] and/or the police, and makes the referral promptly.</w:t>
      </w:r>
    </w:p>
    <w:p>
      <w:pPr>
        <w:pStyle w:val="ListParagraph"/>
        <w:spacing w:after="80"/>
      </w:pPr>
      <w:r>
        <w:rPr>
          <w:rFonts w:ascii="Calibri" w:hAnsi="Calibri"/>
          <w:b w:val="0"/>
          <w:i w:val="0"/>
          <w:color w:val="232B3E"/>
          <w:sz w:val="22"/>
        </w:rPr>
        <w:t>The DSL reports to the board, in a form that protects the individual’s confidentiality.</w:t>
      </w:r>
    </w:p>
    <w:p>
      <w:pPr>
        <w:spacing w:after="160"/>
      </w:pPr>
      <w:r>
        <w:rPr>
          <w:rFonts w:ascii="Calibri" w:hAnsi="Calibri"/>
          <w:b w:val="0"/>
          <w:i w:val="0"/>
          <w:color w:val="232B3E"/>
          <w:sz w:val="22"/>
        </w:rPr>
        <w:t>Whistleblowing: anyone can raise a concern about how this charity handles safeguarding without fear of being penalised. If raising it internally is not possible or has not worked, concerns can be raised with the charity regulator or with the NSPCC whistleblowing advice line.</w:t>
      </w:r>
    </w:p>
    <w:p>
      <w:pPr>
        <w:spacing w:after="80"/>
      </w:pPr>
      <w:r>
        <w:rPr>
          <w:rFonts w:ascii="Calibri" w:hAnsi="Calibri"/>
          <w:b/>
          <w:i w:val="0"/>
          <w:color w:val="1C2A4E"/>
          <w:sz w:val="26"/>
        </w:rPr>
        <w:t>7. Reporting to the regulator</w:t>
      </w:r>
    </w:p>
    <w:p>
      <w:pPr>
        <w:spacing w:after="160"/>
      </w:pPr>
      <w:r>
        <w:rPr>
          <w:rFonts w:ascii="Calibri" w:hAnsi="Calibri"/>
          <w:b w:val="0"/>
          <w:i w:val="0"/>
          <w:color w:val="232B3E"/>
          <w:sz w:val="22"/>
        </w:rPr>
        <w:t>Safeguarding incidents are serious incidents and must be reported by the trustees to the charity regulator (the Charity Commission, OSCR or CCNI as applicable) promptly, not held over to the annual return. The duty is on the trustees and sits alongside, not instead of, any referral to the police or social care.</w:t>
      </w:r>
    </w:p>
    <w:p>
      <w:pPr>
        <w:spacing w:after="80"/>
      </w:pPr>
      <w:r>
        <w:rPr>
          <w:rFonts w:ascii="Calibri" w:hAnsi="Calibri"/>
          <w:b/>
          <w:i w:val="0"/>
          <w:color w:val="1C2A4E"/>
          <w:sz w:val="26"/>
        </w:rPr>
        <w:t>8. Records and confidentiality</w:t>
      </w:r>
    </w:p>
    <w:p>
      <w:pPr>
        <w:spacing w:after="160"/>
      </w:pPr>
      <w:r>
        <w:rPr>
          <w:rFonts w:ascii="Calibri" w:hAnsi="Calibri"/>
          <w:b w:val="0"/>
          <w:i w:val="0"/>
          <w:color w:val="232B3E"/>
          <w:sz w:val="22"/>
        </w:rPr>
        <w:t>Safeguarding records are kept securely by the DSL, separately from general files, and are accessible only to those who need them. We record the concern, the decision, who made it, and what was done. These records are kept for [period in line with our retention schedule]. Information is shared on a need-to-know basis, and we share it with statutory agencies where the law allows or requires it. Keeping a concern confidential is never a reason not to report it.</w:t>
      </w:r>
    </w:p>
    <w:p>
      <w:pPr>
        <w:spacing w:after="80"/>
      </w:pPr>
      <w:r>
        <w:rPr>
          <w:rFonts w:ascii="Calibri" w:hAnsi="Calibri"/>
          <w:b/>
          <w:i w:val="0"/>
          <w:color w:val="1C2A4E"/>
          <w:sz w:val="26"/>
        </w:rPr>
        <w:t>9. Training</w:t>
      </w:r>
    </w:p>
    <w:p>
      <w:pPr>
        <w:spacing w:after="160"/>
      </w:pPr>
      <w:r>
        <w:rPr>
          <w:rFonts w:ascii="Calibri" w:hAnsi="Calibri"/>
          <w:b w:val="0"/>
          <w:i w:val="0"/>
          <w:color w:val="232B3E"/>
          <w:sz w:val="22"/>
        </w:rPr>
        <w:t>All trustees, staff and volunteers in contact with children or adults at risk complete safeguarding training on induction and refresh it at least every [three] years. The DSL and Deputy complete training at a level appropriate to the role.</w:t>
      </w:r>
    </w:p>
    <w:p>
      <w:pPr>
        <w:spacing w:after="80"/>
      </w:pPr>
      <w:r>
        <w:rPr>
          <w:rFonts w:ascii="Calibri" w:hAnsi="Calibri"/>
          <w:b/>
          <w:i w:val="0"/>
          <w:color w:val="1C2A4E"/>
          <w:sz w:val="26"/>
        </w:rPr>
        <w:t>10. Code of conduct</w:t>
      </w:r>
    </w:p>
    <w:p>
      <w:pPr>
        <w:pStyle w:val="ListParagraph"/>
        <w:spacing w:after="80"/>
      </w:pPr>
      <w:r>
        <w:rPr>
          <w:rFonts w:ascii="Calibri" w:hAnsi="Calibri"/>
          <w:b w:val="0"/>
          <w:i w:val="0"/>
          <w:color w:val="232B3E"/>
          <w:sz w:val="22"/>
        </w:rPr>
        <w:t>Do not work alone and unobserved with a child or adult at risk where it can reasonably be avoided.</w:t>
      </w:r>
    </w:p>
    <w:p>
      <w:pPr>
        <w:pStyle w:val="ListParagraph"/>
        <w:spacing w:after="80"/>
      </w:pPr>
      <w:r>
        <w:rPr>
          <w:rFonts w:ascii="Calibri" w:hAnsi="Calibri"/>
          <w:b w:val="0"/>
          <w:i w:val="0"/>
          <w:color w:val="232B3E"/>
          <w:sz w:val="22"/>
        </w:rPr>
        <w:t>Do not give personal contact details to beneficiaries, or contact them through personal social media accounts.</w:t>
      </w:r>
    </w:p>
    <w:p>
      <w:pPr>
        <w:pStyle w:val="ListParagraph"/>
        <w:spacing w:after="80"/>
      </w:pPr>
      <w:r>
        <w:rPr>
          <w:rFonts w:ascii="Calibri" w:hAnsi="Calibri"/>
          <w:b w:val="0"/>
          <w:i w:val="0"/>
          <w:color w:val="232B3E"/>
          <w:sz w:val="22"/>
        </w:rPr>
        <w:t>Do not give lifts alone, offer gifts, or form relationships with beneficiaries outside the role, without agreement from the DSL.</w:t>
      </w:r>
    </w:p>
    <w:p>
      <w:pPr>
        <w:pStyle w:val="ListParagraph"/>
        <w:spacing w:after="80"/>
      </w:pPr>
      <w:r>
        <w:rPr>
          <w:rFonts w:ascii="Calibri" w:hAnsi="Calibri"/>
          <w:b w:val="0"/>
          <w:i w:val="0"/>
          <w:color w:val="232B3E"/>
          <w:sz w:val="22"/>
        </w:rPr>
        <w:t>Do not take or share photographs of beneficiaries without written consent.</w:t>
      </w:r>
    </w:p>
    <w:p>
      <w:pPr>
        <w:pStyle w:val="ListParagraph"/>
        <w:spacing w:after="80"/>
      </w:pPr>
      <w:r>
        <w:rPr>
          <w:rFonts w:ascii="Calibri" w:hAnsi="Calibri"/>
          <w:b w:val="0"/>
          <w:i w:val="0"/>
          <w:color w:val="232B3E"/>
          <w:sz w:val="22"/>
        </w:rPr>
        <w:t>Challenge or report behaviour by colleagues that falls below this standard.</w:t>
      </w:r>
    </w:p>
    <w:p>
      <w:pPr>
        <w:spacing w:after="80"/>
      </w:pPr>
      <w:r>
        <w:rPr>
          <w:rFonts w:ascii="Calibri" w:hAnsi="Calibri"/>
          <w:b/>
          <w:i w:val="0"/>
          <w:color w:val="1C2A4E"/>
          <w:sz w:val="26"/>
        </w:rPr>
        <w:t>11. Allegations against someone in our organisation</w:t>
      </w:r>
    </w:p>
    <w:p>
      <w:pPr>
        <w:spacing w:after="160"/>
      </w:pPr>
      <w:r>
        <w:rPr>
          <w:rFonts w:ascii="Calibri" w:hAnsi="Calibri"/>
          <w:b w:val="0"/>
          <w:i w:val="0"/>
          <w:color w:val="232B3E"/>
          <w:sz w:val="22"/>
        </w:rPr>
        <w:t>An allegation against a trustee, member of staff or volunteer is handled by the DSL with the trustee with safeguarding oversight, and reported to the Local Authority Designated Officer (or equivalent) and the regulator. The person may be suspended while the matter is considered; suspension is a neutral act and is not a finding. Where someone is removed from a role because they harmed or posed a risk to a child or adult at risk, we will refer them to the Disclosure and Barring Service (or Disclosure Scotland / AccessNI).</w:t>
      </w:r>
    </w:p>
    <w:p>
      <w:pPr>
        <w:spacing w:after="80"/>
      </w:pPr>
      <w:r>
        <w:rPr>
          <w:rFonts w:ascii="Calibri" w:hAnsi="Calibri"/>
          <w:b/>
          <w:i w:val="0"/>
          <w:color w:val="1C2A4E"/>
          <w:sz w:val="26"/>
        </w:rPr>
        <w:t>Adoption and review</w:t>
      </w:r>
    </w:p>
    <w:p>
      <w:pPr>
        <w:spacing w:after="160"/>
      </w:pPr>
      <w:r>
        <w:rPr>
          <w:rFonts w:ascii="Calibri" w:hAnsi="Calibri"/>
          <w:b w:val="0"/>
          <w:i w:val="0"/>
          <w:color w:val="232B3E"/>
          <w:sz w:val="22"/>
        </w:rPr>
        <w:t>Adopted by the trustees of [charity name] on [date].</w:t>
      </w:r>
    </w:p>
    <w:p>
      <w:pPr>
        <w:spacing w:after="160"/>
      </w:pPr>
      <w:r>
        <w:rPr>
          <w:rFonts w:ascii="Calibri" w:hAnsi="Calibri"/>
          <w:b w:val="0"/>
          <w:i w:val="0"/>
          <w:color w:val="232B3E"/>
          <w:sz w:val="22"/>
        </w:rPr>
        <w:t>Next review due: [date — we suggest yearly]. Responsibility for keeping this policy up to date: [role, e.g. the Designated Safeguarding Lead].</w:t>
      </w:r>
    </w:p>
    <w:p>
      <w:pPr>
        <w:spacing w:after="280"/>
      </w:pPr>
      <w:r>
        <w:rPr>
          <w:rFonts w:ascii="Calibri" w:hAnsi="Calibri"/>
          <w:b w:val="0"/>
          <w:i w:val="0"/>
          <w:color w:val="232B3E"/>
          <w:sz w:val="22"/>
        </w:rPr>
        <w:t>Signed (chair): ______________________________          Date: ________________</w:t>
      </w:r>
    </w:p>
    <w:p>
      <w:pPr>
        <w:spacing w:after="80"/>
      </w:pPr>
      <w:r>
        <w:rPr>
          <w:rFonts w:ascii="Calibri" w:hAnsi="Calibri"/>
          <w:b/>
          <w:i w:val="0"/>
          <w:color w:val="1C2A4E"/>
          <w:sz w:val="26"/>
        </w:rPr>
        <w:t>Appendix A — Key contacts</w:t>
      </w:r>
    </w:p>
    <w:p>
      <w:pPr>
        <w:spacing w:after="160"/>
      </w:pPr>
      <w:r>
        <w:rPr>
          <w:rFonts w:ascii="Calibri" w:hAnsi="Calibri"/>
          <w:b w:val="0"/>
          <w:i w:val="0"/>
          <w:color w:val="232B3E"/>
          <w:sz w:val="22"/>
        </w:rPr>
        <w:t>Fill this in and keep it somewhere everyone can find it.</w:t>
      </w:r>
    </w:p>
    <w:p>
      <w:pPr>
        <w:spacing w:after="60"/>
      </w:pPr>
      <w:r>
        <w:rPr>
          <w:rFonts w:ascii="Calibri" w:hAnsi="Calibri"/>
          <w:b w:val="0"/>
          <w:i w:val="0"/>
          <w:color w:val="232B3E"/>
          <w:sz w:val="22"/>
        </w:rPr>
        <w:t>DSL: [name] — [phone] — [email]</w:t>
      </w:r>
    </w:p>
    <w:p>
      <w:pPr>
        <w:spacing w:after="60"/>
      </w:pPr>
      <w:r>
        <w:rPr>
          <w:rFonts w:ascii="Calibri" w:hAnsi="Calibri"/>
          <w:b w:val="0"/>
          <w:i w:val="0"/>
          <w:color w:val="232B3E"/>
          <w:sz w:val="22"/>
        </w:rPr>
        <w:t>Deputy DSL: [name] — [phone] — [email]</w:t>
      </w:r>
    </w:p>
    <w:p>
      <w:pPr>
        <w:spacing w:after="60"/>
      </w:pPr>
      <w:r>
        <w:rPr>
          <w:rFonts w:ascii="Calibri" w:hAnsi="Calibri"/>
          <w:b w:val="0"/>
          <w:i w:val="0"/>
          <w:color w:val="232B3E"/>
          <w:sz w:val="22"/>
        </w:rPr>
        <w:t>Trustee with safeguarding oversight: [name] — [phone]</w:t>
      </w:r>
    </w:p>
    <w:p>
      <w:pPr>
        <w:spacing w:after="60"/>
      </w:pPr>
      <w:r>
        <w:rPr>
          <w:rFonts w:ascii="Calibri" w:hAnsi="Calibri"/>
          <w:b w:val="0"/>
          <w:i w:val="0"/>
          <w:color w:val="232B3E"/>
          <w:sz w:val="22"/>
        </w:rPr>
        <w:t>Local authority children’s social care: [number]</w:t>
      </w:r>
    </w:p>
    <w:p>
      <w:pPr>
        <w:spacing w:after="60"/>
      </w:pPr>
      <w:r>
        <w:rPr>
          <w:rFonts w:ascii="Calibri" w:hAnsi="Calibri"/>
          <w:b w:val="0"/>
          <w:i w:val="0"/>
          <w:color w:val="232B3E"/>
          <w:sz w:val="22"/>
        </w:rPr>
        <w:t>Local authority adult social care: [number]</w:t>
      </w:r>
    </w:p>
    <w:p>
      <w:pPr>
        <w:spacing w:after="60"/>
      </w:pPr>
      <w:r>
        <w:rPr>
          <w:rFonts w:ascii="Calibri" w:hAnsi="Calibri"/>
          <w:b w:val="0"/>
          <w:i w:val="0"/>
          <w:color w:val="232B3E"/>
          <w:sz w:val="22"/>
        </w:rPr>
        <w:t>Police: 101 (999 in an emergency)</w:t>
      </w:r>
    </w:p>
    <w:p>
      <w:pPr>
        <w:spacing w:after="60"/>
      </w:pPr>
      <w:r>
        <w:rPr>
          <w:rFonts w:ascii="Calibri" w:hAnsi="Calibri"/>
          <w:b w:val="0"/>
          <w:i w:val="0"/>
          <w:color w:val="232B3E"/>
          <w:sz w:val="22"/>
        </w:rPr>
        <w:t>Local Authority Designated Officer (LADO) or equivalent: [number]</w:t>
      </w:r>
    </w:p>
    <w:p>
      <w:pPr>
        <w:spacing w:after="60"/>
      </w:pPr>
      <w:r>
        <w:rPr>
          <w:rFonts w:ascii="Calibri" w:hAnsi="Calibri"/>
          <w:b w:val="0"/>
          <w:i w:val="0"/>
          <w:color w:val="232B3E"/>
          <w:sz w:val="22"/>
        </w:rPr>
        <w:t>Charity regulator serious incident reporting: [Charity Commission / OSCR / CCNI]</w:t>
      </w:r>
    </w:p>
    <w:p>
      <w:pPr>
        <w:spacing w:after="160"/>
      </w:pPr>
      <w:r>
        <w:rPr>
          <w:rFonts w:ascii="Calibri" w:hAnsi="Calibri"/>
          <w:b w:val="0"/>
          <w:i w:val="0"/>
          <w:color w:val="232B3E"/>
          <w:sz w:val="22"/>
        </w:rPr>
      </w:r>
    </w:p>
    <w:p>
      <w:pPr>
        <w:spacing w:after="80"/>
      </w:pPr>
      <w:r>
        <w:rPr>
          <w:rFonts w:ascii="Calibri" w:hAnsi="Calibri"/>
          <w:b/>
          <w:i w:val="0"/>
          <w:color w:val="1C2A4E"/>
          <w:sz w:val="26"/>
        </w:rPr>
        <w:t>Appendix B — Concern record form</w:t>
      </w:r>
    </w:p>
    <w:p>
      <w:pPr>
        <w:spacing w:after="160"/>
      </w:pPr>
      <w:r>
        <w:rPr>
          <w:rFonts w:ascii="Calibri" w:hAnsi="Calibri"/>
          <w:b w:val="0"/>
          <w:i w:val="0"/>
          <w:color w:val="232B3E"/>
          <w:sz w:val="22"/>
        </w:rPr>
        <w:t>Complete the same day. Pass to the DSL. Keep a copy secure.</w:t>
      </w:r>
    </w:p>
    <w:p>
      <w:pPr>
        <w:spacing w:after="80"/>
      </w:pPr>
      <w:r>
        <w:rPr>
          <w:rFonts w:ascii="Calibri" w:hAnsi="Calibri"/>
          <w:b w:val="0"/>
          <w:i w:val="0"/>
          <w:color w:val="232B3E"/>
          <w:sz w:val="22"/>
        </w:rPr>
        <w:t>Your name and role: ______________________________    Date and time: ______________</w:t>
      </w:r>
    </w:p>
    <w:p>
      <w:pPr>
        <w:spacing w:after="80"/>
      </w:pPr>
      <w:r>
        <w:rPr>
          <w:rFonts w:ascii="Calibri" w:hAnsi="Calibri"/>
          <w:b w:val="0"/>
          <w:i w:val="0"/>
          <w:color w:val="232B3E"/>
          <w:sz w:val="22"/>
        </w:rPr>
        <w:t>Name of the person you are concerned about: ______________________________</w:t>
      </w:r>
    </w:p>
    <w:p>
      <w:pPr>
        <w:spacing w:after="80"/>
      </w:pPr>
      <w:r>
        <w:rPr>
          <w:rFonts w:ascii="Calibri" w:hAnsi="Calibri"/>
          <w:b w:val="0"/>
          <w:i w:val="0"/>
          <w:color w:val="232B3E"/>
          <w:sz w:val="22"/>
        </w:rPr>
        <w:t>What did you see, hear or get told? Use their words where you can, and stick to facts:</w:t>
      </w:r>
    </w:p>
    <w:p>
      <w:pPr>
        <w:spacing w:after="80"/>
      </w:pPr>
      <w:r>
        <w:rPr>
          <w:rFonts w:ascii="Calibri" w:hAnsi="Calibri"/>
          <w:b w:val="0"/>
          <w:i w:val="0"/>
          <w:color w:val="232B3E"/>
          <w:sz w:val="22"/>
        </w:rPr>
        <w:t>____________________________________________________________________________</w:t>
      </w:r>
    </w:p>
    <w:p>
      <w:pPr>
        <w:spacing w:after="80"/>
      </w:pPr>
      <w:r>
        <w:rPr>
          <w:rFonts w:ascii="Calibri" w:hAnsi="Calibri"/>
          <w:b w:val="0"/>
          <w:i w:val="0"/>
          <w:color w:val="232B3E"/>
          <w:sz w:val="22"/>
        </w:rPr>
        <w:t>____________________________________________________________________________</w:t>
      </w:r>
    </w:p>
    <w:p>
      <w:pPr>
        <w:spacing w:after="80"/>
      </w:pPr>
      <w:r>
        <w:rPr>
          <w:rFonts w:ascii="Calibri" w:hAnsi="Calibri"/>
          <w:b w:val="0"/>
          <w:i w:val="0"/>
          <w:color w:val="232B3E"/>
          <w:sz w:val="22"/>
        </w:rPr>
        <w:t>Was anyone else present? ______________________________</w:t>
      </w:r>
    </w:p>
    <w:p>
      <w:pPr>
        <w:spacing w:after="80"/>
      </w:pPr>
      <w:r>
        <w:rPr>
          <w:rFonts w:ascii="Calibri" w:hAnsi="Calibri"/>
          <w:b w:val="0"/>
          <w:i w:val="0"/>
          <w:color w:val="232B3E"/>
          <w:sz w:val="22"/>
        </w:rPr>
        <w:t>What did you do, and who did you tell? ______________________________</w:t>
      </w:r>
    </w:p>
    <w:p>
      <w:pPr>
        <w:spacing w:after="80"/>
      </w:pPr>
      <w:r>
        <w:rPr>
          <w:rFonts w:ascii="Calibri" w:hAnsi="Calibri"/>
          <w:b w:val="0"/>
          <w:i w:val="0"/>
          <w:color w:val="232B3E"/>
          <w:sz w:val="22"/>
        </w:rPr>
        <w:t>Signed: ______________________________    Date: ______________</w:t>
      </w:r>
    </w:p>
    <w:p>
      <w:pPr>
        <w:spacing w:after="80"/>
      </w:pPr>
      <w:r>
        <w:rPr>
          <w:rFonts w:ascii="Calibri" w:hAnsi="Calibri"/>
          <w:b w:val="0"/>
          <w:i w:val="0"/>
          <w:color w:val="232B3E"/>
          <w:sz w:val="22"/>
        </w:rPr>
        <w:t>DSL use — action taken, referral made, date: ______________________________</w:t>
      </w:r>
    </w:p>
    <w:p>
      <w:pPr>
        <w:spacing w:after="160"/>
      </w:pPr>
      <w:r>
        <w:rPr>
          <w:rFonts w:ascii="Calibri" w:hAnsi="Calibri"/>
          <w:b w:val="0"/>
          <w:i w:val="0"/>
          <w:color w:val="232B3E"/>
          <w:sz w:val="22"/>
        </w:rPr>
      </w:r>
    </w:p>
    <w:p>
      <w:pPr>
        <w:spacing w:after="160"/>
      </w:pPr>
      <w:r>
        <w:rPr>
          <w:rFonts w:ascii="Calibri" w:hAnsi="Calibri"/>
          <w:b w:val="0"/>
          <w:i w:val="0"/>
          <w:color w:val="5A6377"/>
          <w:sz w:val="16"/>
        </w:rPr>
        <w:t>This template is general governance guidance, not legal advice, and safeguarding requirements vary by nation and by the work you do. Charities working directly with children or adults at risk should take specialist safeguarding advice and follow their local safeguarding partnership procedures. Last reviewed October 2026.</w:t>
      </w:r>
    </w:p>
    <w:p>
      <w:pPr>
        <w:spacing w:after="0"/>
      </w:pPr>
      <w:r>
        <w:rPr>
          <w:rFonts w:ascii="Calibri" w:hAnsi="Calibri"/>
          <w:b w:val="0"/>
          <w:i w:val="0"/>
          <w:color w:val="5A6377"/>
          <w:sz w:val="16"/>
        </w:rPr>
        <w:t>The Committee Room · Governance support for UK charity boards &amp; committees · hello@thecommitteeroom.co.uk</w:t>
      </w:r>
    </w:p>
    <w:sectPr w:rsidR="00FC693F" w:rsidRPr="0006063C" w:rsidSect="00034616">
      <w:pgSz w:w="12240" w:h="15840"/>
      <w:pgMar w:top="1080" w:right="1200" w:bottom="1080" w:left="12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