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6324F"/>
          <w:spacing w:val="40"/>
          <w:sz w:val="16"/>
          <w:szCs w:val="16"/>
        </w:rPr>
        <w:t xml:space="preserve">THE COMMITTEE ROOM</w:t>
      </w:r>
    </w:p>
    <w:p>
      <w:pPr>
        <w:spacing w:after="60"/>
      </w:pPr>
      <w:r>
        <w:rPr>
          <w:b/>
          <w:bCs/>
          <w:color w:val="2F7D78"/>
          <w:spacing w:val="30"/>
          <w:sz w:val="16"/>
          <w:szCs w:val="16"/>
        </w:rPr>
        <w:t xml:space="preserve">GOVERNANCE GUIDE</w:t>
      </w:r>
    </w:p>
    <w:p>
      <w:pPr>
        <w:pBdr>
          <w:bottom w:val="single" w:color="D9E0E6" w:sz="6" w:space="8"/>
        </w:pBdr>
        <w:spacing w:after="120"/>
        <w:outlineLvl w:val="0"/>
      </w:pPr>
      <w:r>
        <w:rPr>
          <w:b/>
          <w:bCs/>
          <w:color w:val="16324F"/>
          <w:sz w:val="40"/>
          <w:szCs w:val="40"/>
        </w:rPr>
        <w:t xml:space="preserve">Setting up a charity: a step-by-step guide</w:t>
      </w:r>
    </w:p>
    <w:p>
      <w:pPr>
        <w:spacing w:after="200" w:line="300"/>
      </w:pPr>
      <w:r>
        <w:rPr>
          <w:color w:val="24303A"/>
          <w:sz w:val="23"/>
          <w:szCs w:val="23"/>
        </w:rPr>
        <w:t xml:space="preserve">Setting up a charity is more achievable than many people expect. This is the path in England and Wales, step by step, from first idea to up and running.</w:t>
      </w:r>
    </w:p>
    <w:p>
      <w:pPr>
        <w:spacing w:after="100" w:before="260"/>
        <w:outlineLvl w:val="1"/>
      </w:pPr>
      <w:r>
        <w:rPr>
          <w:b/>
          <w:bCs/>
          <w:color w:val="16324F"/>
          <w:sz w:val="28"/>
          <w:szCs w:val="28"/>
        </w:rPr>
        <w:t xml:space="preserve">Before you start: is a charity the right vehicle?</w:t>
      </w:r>
    </w:p>
    <w:p>
      <w:pPr>
        <w:spacing w:after="160" w:line="276"/>
      </w:pPr>
      <w:r>
        <w:rPr>
          <w:color w:val="24303A"/>
          <w:sz w:val="22"/>
          <w:szCs w:val="22"/>
        </w:rPr>
        <w:t xml:space="preserve">A charity must have exclusively charitable purposes that are for the public benefit. If your aims are broader, or you want to trade or pay founders in ways a charity cannot, another structure such as a community interest company might fit better. Assuming your purposes are charitable, the steps below take you through it.</w:t>
      </w:r>
    </w:p>
    <w:p>
      <w:pPr>
        <w:spacing w:after="100" w:before="260"/>
        <w:outlineLvl w:val="1"/>
      </w:pPr>
      <w:r>
        <w:rPr>
          <w:b/>
          <w:bCs/>
          <w:color w:val="16324F"/>
          <w:sz w:val="28"/>
          <w:szCs w:val="28"/>
        </w:rPr>
        <w:t xml:space="preserve">The steps</w:t>
      </w:r>
    </w:p>
    <w:p>
      <w:pPr>
        <w:pStyle w:val="ListParagraph"/>
        <w:numPr>
          <w:ilvl w:val="0"/>
          <w:numId w:val="2"/>
        </w:numPr>
        <w:spacing w:after="100" w:line="276"/>
      </w:pPr>
      <w:r>
        <w:rPr>
          <w:b/>
          <w:bCs/>
          <w:color w:val="24303A"/>
          <w:sz w:val="22"/>
          <w:szCs w:val="22"/>
        </w:rPr>
        <w:t xml:space="preserve">Line up your trustees. </w:t>
      </w:r>
      <w:r>
        <w:rPr>
          <w:color w:val="24303A"/>
          <w:sz w:val="22"/>
          <w:szCs w:val="22"/>
        </w:rPr>
        <w:t xml:space="preserve">Your governing document sets the legal minimum number of trustees; the Charity Commission generally recommends at least three unconnected trustees who understand they are taking on legal responsibility for the charity. A committed, suitably skilled board is the foundation of everything else.</w:t>
      </w:r>
    </w:p>
    <w:p>
      <w:pPr>
        <w:pStyle w:val="ListParagraph"/>
        <w:numPr>
          <w:ilvl w:val="0"/>
          <w:numId w:val="2"/>
        </w:numPr>
        <w:spacing w:after="100" w:line="276"/>
      </w:pPr>
      <w:r>
        <w:rPr>
          <w:b/>
          <w:bCs/>
          <w:color w:val="24303A"/>
          <w:sz w:val="22"/>
          <w:szCs w:val="22"/>
        </w:rPr>
        <w:t xml:space="preserve">Settle your charitable purposes. </w:t>
      </w:r>
      <w:r>
        <w:rPr>
          <w:color w:val="24303A"/>
          <w:sz w:val="22"/>
          <w:szCs w:val="22"/>
        </w:rPr>
        <w:t xml:space="preserve">Write clear objects that fall within the recognised charitable purposes, and check they deliver identifiable public benefit. Your purposes shape everything the charity can and cannot do.</w:t>
      </w:r>
    </w:p>
    <w:p>
      <w:pPr>
        <w:pStyle w:val="ListParagraph"/>
        <w:numPr>
          <w:ilvl w:val="0"/>
          <w:numId w:val="2"/>
        </w:numPr>
        <w:spacing w:after="100" w:line="276"/>
      </w:pPr>
      <w:r>
        <w:rPr>
          <w:b/>
          <w:bCs/>
          <w:color w:val="24303A"/>
          <w:sz w:val="22"/>
          <w:szCs w:val="22"/>
        </w:rPr>
        <w:t xml:space="preserve">Choose a name. </w:t>
      </w:r>
      <w:r>
        <w:rPr>
          <w:color w:val="24303A"/>
          <w:sz w:val="22"/>
          <w:szCs w:val="22"/>
        </w:rPr>
        <w:t xml:space="preserve">It must not be the same as, or too similar to, an existing charity, and must not be misleading or offensive. Check the register before you commit.</w:t>
      </w:r>
    </w:p>
    <w:p>
      <w:pPr>
        <w:pStyle w:val="ListParagraph"/>
        <w:numPr>
          <w:ilvl w:val="0"/>
          <w:numId w:val="2"/>
        </w:numPr>
        <w:spacing w:after="100" w:line="276"/>
      </w:pPr>
      <w:r>
        <w:rPr>
          <w:b/>
          <w:bCs/>
          <w:color w:val="24303A"/>
          <w:sz w:val="22"/>
          <w:szCs w:val="22"/>
        </w:rPr>
        <w:t xml:space="preserve">Choose your legal structure. </w:t>
      </w:r>
      <w:r>
        <w:rPr>
          <w:color w:val="24303A"/>
          <w:sz w:val="22"/>
          <w:szCs w:val="22"/>
        </w:rPr>
        <w:t xml:space="preserve">Decide between an unincorporated association or trust, a CIO, or a charitable company — see our separate guide on choosing a structure. This determines your governing document and how you register.</w:t>
      </w:r>
    </w:p>
    <w:p>
      <w:pPr>
        <w:pStyle w:val="ListParagraph"/>
        <w:numPr>
          <w:ilvl w:val="0"/>
          <w:numId w:val="2"/>
        </w:numPr>
        <w:spacing w:after="100" w:line="276"/>
      </w:pPr>
      <w:r>
        <w:rPr>
          <w:b/>
          <w:bCs/>
          <w:color w:val="24303A"/>
          <w:sz w:val="22"/>
          <w:szCs w:val="22"/>
        </w:rPr>
        <w:t xml:space="preserve">Adopt a governing document. </w:t>
      </w:r>
      <w:r>
        <w:rPr>
          <w:color w:val="24303A"/>
          <w:sz w:val="22"/>
          <w:szCs w:val="22"/>
        </w:rPr>
        <w:t xml:space="preserve">This is your charity’s rulebook — its constitution, trust deed or articles. Using the Charity Commission’s model document for your chosen structure saves time and avoids mistakes.</w:t>
      </w:r>
    </w:p>
    <w:p>
      <w:pPr>
        <w:pStyle w:val="ListParagraph"/>
        <w:numPr>
          <w:ilvl w:val="0"/>
          <w:numId w:val="2"/>
        </w:numPr>
        <w:spacing w:after="100" w:line="276"/>
      </w:pPr>
      <w:r>
        <w:rPr>
          <w:b/>
          <w:bCs/>
          <w:color w:val="24303A"/>
          <w:sz w:val="22"/>
          <w:szCs w:val="22"/>
        </w:rPr>
        <w:t xml:space="preserve">Open a charity bank account. </w:t>
      </w:r>
      <w:r>
        <w:rPr>
          <w:color w:val="24303A"/>
          <w:sz w:val="22"/>
          <w:szCs w:val="22"/>
        </w:rPr>
        <w:t xml:space="preserve">A dedicated account keeps the charity’s money separate, and you will need its details when you apply to register — so open it before you register. Banks can be slow to set up accounts for new charities, so start this early.</w:t>
      </w:r>
    </w:p>
    <w:p>
      <w:pPr>
        <w:pStyle w:val="ListParagraph"/>
        <w:numPr>
          <w:ilvl w:val="0"/>
          <w:numId w:val="2"/>
        </w:numPr>
        <w:spacing w:after="100" w:line="276"/>
      </w:pPr>
      <w:r>
        <w:rPr>
          <w:b/>
          <w:bCs/>
          <w:color w:val="24303A"/>
          <w:sz w:val="22"/>
          <w:szCs w:val="22"/>
        </w:rPr>
        <w:t xml:space="preserve">Register with the Charity Commission. </w:t>
      </w:r>
      <w:r>
        <w:rPr>
          <w:color w:val="24303A"/>
          <w:sz w:val="22"/>
          <w:szCs w:val="22"/>
        </w:rPr>
        <w:t xml:space="preserve">You must register once your annual income is £5,000 or more, and a CIO must register from the outset whatever its income (different arrangements apply to exempt and excepted charities). You will need your trustees’ details, your governing document, your bank details and a description of your public benefit.</w:t>
      </w:r>
    </w:p>
    <w:p>
      <w:pPr>
        <w:pStyle w:val="ListParagraph"/>
        <w:numPr>
          <w:ilvl w:val="0"/>
          <w:numId w:val="2"/>
        </w:numPr>
        <w:spacing w:after="100" w:line="276"/>
      </w:pPr>
      <w:r>
        <w:rPr>
          <w:b/>
          <w:bCs/>
          <w:color w:val="24303A"/>
          <w:sz w:val="22"/>
          <w:szCs w:val="22"/>
        </w:rPr>
        <w:t xml:space="preserve">Register with HMRC. </w:t>
      </w:r>
      <w:r>
        <w:rPr>
          <w:color w:val="24303A"/>
          <w:sz w:val="22"/>
          <w:szCs w:val="22"/>
        </w:rPr>
        <w:t xml:space="preserve">Separately from charity registration, apply to HMRC to be recognised as a charity for tax purposes — this is what lets you claim Gift Aid and access charitable tax reliefs.</w:t>
      </w:r>
    </w:p>
    <w:p>
      <w:pPr>
        <w:pStyle w:val="ListParagraph"/>
        <w:numPr>
          <w:ilvl w:val="0"/>
          <w:numId w:val="2"/>
        </w:numPr>
        <w:spacing w:after="100" w:line="276"/>
      </w:pPr>
      <w:r>
        <w:rPr>
          <w:b/>
          <w:bCs/>
          <w:color w:val="24303A"/>
          <w:sz w:val="22"/>
          <w:szCs w:val="22"/>
        </w:rPr>
        <w:t xml:space="preserve">Put the basics in place. </w:t>
      </w:r>
      <w:r>
        <w:rPr>
          <w:color w:val="24303A"/>
          <w:sz w:val="22"/>
          <w:szCs w:val="22"/>
        </w:rPr>
        <w:t xml:space="preserve">Get your essential policies, appropriate insurance, and simple record-keeping set up so you start on a sound footing — see our guide to the policies every small charity should consider.</w:t>
      </w:r>
    </w:p>
    <w:p>
      <w:pPr>
        <w:spacing w:after="100" w:before="260"/>
        <w:outlineLvl w:val="1"/>
      </w:pPr>
      <w:r>
        <w:rPr>
          <w:b/>
          <w:bCs/>
          <w:color w:val="16324F"/>
          <w:sz w:val="28"/>
          <w:szCs w:val="28"/>
        </w:rPr>
        <w:t xml:space="preserve">A word on thresholds and the four nations</w:t>
      </w:r>
    </w:p>
    <w:p>
      <w:pPr>
        <w:spacing w:after="160" w:line="276"/>
      </w:pPr>
      <w:r>
        <w:rPr>
          <w:color w:val="24303A"/>
          <w:sz w:val="22"/>
          <w:szCs w:val="22"/>
        </w:rPr>
        <w:t xml:space="preserve">The £5,000-or-more registration threshold and the process above apply in England and Wales. Scotland (regulated by OSCR) and Northern Ireland (regulated by CCNI) have their own rules — notably, both currently require charities to register regardless of income, though Northern Ireland is considering introducing a threshold in future. If you will operate across a border, check where you need to register before you launch.</w:t>
      </w:r>
    </w:p>
    <w:p>
      <w:pPr>
        <w:spacing w:after="100" w:before="260"/>
        <w:outlineLvl w:val="1"/>
      </w:pPr>
      <w:r>
        <w:rPr>
          <w:b/>
          <w:bCs/>
          <w:color w:val="16324F"/>
          <w:sz w:val="28"/>
          <w:szCs w:val="28"/>
        </w:rPr>
        <w:t xml:space="preserve">Take your time on the foundations</w:t>
      </w:r>
    </w:p>
    <w:p>
      <w:pPr>
        <w:spacing w:after="160" w:line="276"/>
      </w:pPr>
      <w:r>
        <w:rPr>
          <w:color w:val="24303A"/>
          <w:sz w:val="22"/>
          <w:szCs w:val="22"/>
        </w:rPr>
        <w:t xml:space="preserve">The parts that are hardest to change later — your purposes, your structure and your governing document — are worth getting right at the start. Everything else can be refined as you grow.</w:t>
      </w:r>
    </w:p>
    <w:p>
      <w:pPr>
        <w:pBdr>
          <w:top w:val="single" w:color="E2E7EC" w:sz="4" w:space="10"/>
        </w:pBdr>
        <w:spacing w:before="300" w:line="240"/>
      </w:pPr>
      <w:r>
        <w:rPr>
          <w:i/>
          <w:iCs/>
          <w:color w:val="5A6774"/>
          <w:sz w:val="18"/>
          <w:szCs w:val="18"/>
        </w:rPr>
        <w:t xml:space="preserve">This guide is general information for trustees and committee members, not legal or financial advice, and every charity is different. Rules can change, so always confirm the current position with the relevant regulator or a suitably qualified adviser before acting. Last reviewed July 2026.</w:t>
      </w:r>
    </w:p>
    <w:p>
      <w:pPr>
        <w:spacing w:before="120"/>
      </w:pPr>
      <w:r>
        <w:rPr>
          <w:color w:val="5A6774"/>
          <w:sz w:val="16"/>
          <w:szCs w:val="16"/>
        </w:rPr>
        <w:t xml:space="preserve">The Committee Room · Governance support for UK charity boards &amp; committees · hello@thecommitteeroom.co.uk</w:t>
      </w:r>
    </w:p>
    <w:sectPr>
      <w:pgSz w:w="11906" w:h="16838" w:orient="portrait"/>
      <w:pgMar w:top="11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2F7D78"/>
      </w:rPr>
    </w:lvl>
  </w:abstractNum>
  <w:abstractNum w:abstractNumId="3" w15:restartNumberingAfterBreak="0">
    <w:multiLevelType w:val="hybridMultilevel"/>
    <w:lvl w:ilvl="0" w15:tentative="1">
      <w:start w:val="1"/>
      <w:numFmt w:val="decimal"/>
      <w:lvlText w:val="%1."/>
      <w:lvlJc w:val="left"/>
      <w:pPr>
        <w:ind w:left="460" w:hanging="360"/>
      </w:pPr>
      <w:rPr>
        <w:b/>
        <w:bCs/>
        <w:color w:val="16324F"/>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4303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Committee Room</dc:creator>
  <cp:lastModifiedBy>Un-named</cp:lastModifiedBy>
  <cp:revision>1</cp:revision>
  <dcterms:created xsi:type="dcterms:W3CDTF">2026-07-22T19:34:24.712Z</dcterms:created>
  <dcterms:modified xsi:type="dcterms:W3CDTF">2026-07-22T19:34:24.712Z</dcterms:modified>
</cp:coreProperties>
</file>

<file path=docProps/custom.xml><?xml version="1.0" encoding="utf-8"?>
<Properties xmlns="http://schemas.openxmlformats.org/officeDocument/2006/custom-properties" xmlns:vt="http://schemas.openxmlformats.org/officeDocument/2006/docPropsVTypes"/>
</file>