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324F"/>
          <w:spacing w:val="40"/>
          <w:sz w:val="16"/>
          <w:szCs w:val="16"/>
        </w:rPr>
        <w:t xml:space="preserve">THE COMMITTEE ROOM</w:t>
      </w:r>
    </w:p>
    <w:p>
      <w:pPr>
        <w:spacing w:after="60"/>
      </w:pPr>
      <w:r>
        <w:rPr>
          <w:b/>
          <w:bCs/>
          <w:color w:val="2F7D78"/>
          <w:spacing w:val="30"/>
          <w:sz w:val="16"/>
          <w:szCs w:val="16"/>
        </w:rPr>
        <w:t xml:space="preserve">GOVERNANCE GUIDE</w:t>
      </w:r>
    </w:p>
    <w:p>
      <w:pPr>
        <w:pBdr>
          <w:bottom w:val="single" w:color="D9E0E6" w:sz="6" w:space="8"/>
        </w:pBdr>
        <w:spacing w:after="120"/>
        <w:outlineLvl w:val="0"/>
      </w:pPr>
      <w:r>
        <w:rPr>
          <w:b/>
          <w:bCs/>
          <w:color w:val="16324F"/>
          <w:sz w:val="40"/>
          <w:szCs w:val="40"/>
        </w:rPr>
        <w:t xml:space="preserve">Writing your trustees’ annual report</w:t>
      </w:r>
    </w:p>
    <w:p>
      <w:pPr>
        <w:spacing w:after="200" w:line="300"/>
      </w:pPr>
      <w:r>
        <w:rPr>
          <w:color w:val="24303A"/>
          <w:sz w:val="23"/>
          <w:szCs w:val="23"/>
        </w:rPr>
        <w:t xml:space="preserve">The trustees’ annual report is both a legal requirement and your best opportunity to tell your charity’s story. Done well, it satisfies the regulator and wins over funders and supporters at the same time.</w:t>
      </w:r>
    </w:p>
    <w:p>
      <w:pPr>
        <w:spacing w:after="100" w:before="260"/>
        <w:outlineLvl w:val="1"/>
      </w:pPr>
      <w:r>
        <w:rPr>
          <w:b/>
          <w:bCs/>
          <w:color w:val="16324F"/>
          <w:sz w:val="28"/>
          <w:szCs w:val="28"/>
        </w:rPr>
        <w:t xml:space="preserve">What it is, and who has to file it</w:t>
      </w:r>
    </w:p>
    <w:p>
      <w:pPr>
        <w:spacing w:after="160" w:line="276"/>
      </w:pPr>
      <w:r>
        <w:rPr>
          <w:color w:val="24303A"/>
          <w:sz w:val="22"/>
          <w:szCs w:val="22"/>
        </w:rPr>
        <w:t xml:space="preserve">Every registered charity must prepare a trustees’ annual report each year, alongside its accounts. Whether you must send them to the Charity Commission depends on your size and structure: charities with gross income over £25,000 must submit the report and accounts with their annual return, and CIOs must submit theirs whatever their income. Where filing is required, the deadline is ten months after the financial year-end.</w:t>
      </w:r>
    </w:p>
    <w:p>
      <w:pPr>
        <w:spacing w:after="100" w:before="260"/>
        <w:outlineLvl w:val="1"/>
      </w:pPr>
      <w:r>
        <w:rPr>
          <w:b/>
          <w:bCs/>
          <w:color w:val="16324F"/>
          <w:sz w:val="28"/>
          <w:szCs w:val="28"/>
        </w:rPr>
        <w:t xml:space="preserve">A simpler report, or a full one?</w:t>
      </w:r>
    </w:p>
    <w:p>
      <w:pPr>
        <w:spacing w:after="160" w:line="276"/>
      </w:pPr>
      <w:r>
        <w:rPr>
          <w:color w:val="24303A"/>
          <w:sz w:val="22"/>
          <w:szCs w:val="22"/>
        </w:rPr>
        <w:t xml:space="preserve">How much the report must contain depends not on the audit threshold but on separate reporting thresholds. You can prepare a simpler report if your income is £500,000 or less and you do not hold assets worth more than £3.26 million. A full, SORP-compliant report is required if your income is above £500,000, or above £250,000 with assets over £3.26 million, or your charity is a company or a CIO — whatever its income. (Some of these financial thresholds are due to change from 30 September 2026 — see our separate guide to the threshold changes.)</w:t>
      </w:r>
    </w:p>
    <w:p>
      <w:pPr>
        <w:spacing w:after="100" w:before="260"/>
        <w:outlineLvl w:val="1"/>
      </w:pPr>
      <w:r>
        <w:rPr>
          <w:b/>
          <w:bCs/>
          <w:color w:val="16324F"/>
          <w:sz w:val="28"/>
          <w:szCs w:val="28"/>
        </w:rPr>
        <w:t xml:space="preserve">What the report should contain</w:t>
      </w:r>
    </w:p>
    <w:p>
      <w:pPr>
        <w:pStyle w:val="ListParagraph"/>
        <w:numPr>
          <w:ilvl w:val="0"/>
          <w:numId w:val="2"/>
        </w:numPr>
        <w:spacing w:after="80" w:line="276"/>
      </w:pPr>
      <w:r>
        <w:rPr>
          <w:b/>
          <w:bCs/>
          <w:color w:val="24303A"/>
          <w:sz w:val="22"/>
          <w:szCs w:val="22"/>
        </w:rPr>
        <w:t xml:space="preserve">Reference and administrative details — </w:t>
      </w:r>
      <w:r>
        <w:rPr>
          <w:color w:val="24303A"/>
          <w:sz w:val="22"/>
          <w:szCs w:val="22"/>
        </w:rPr>
        <w:t xml:space="preserve">the charity’s name, registration number, address, trustees and key advisers.</w:t>
      </w:r>
    </w:p>
    <w:p>
      <w:pPr>
        <w:pStyle w:val="ListParagraph"/>
        <w:numPr>
          <w:ilvl w:val="0"/>
          <w:numId w:val="2"/>
        </w:numPr>
        <w:spacing w:after="80" w:line="276"/>
      </w:pPr>
      <w:r>
        <w:rPr>
          <w:b/>
          <w:bCs/>
          <w:color w:val="24303A"/>
          <w:sz w:val="22"/>
          <w:szCs w:val="22"/>
        </w:rPr>
        <w:t xml:space="preserve">Structure, governance and management — </w:t>
      </w:r>
      <w:r>
        <w:rPr>
          <w:color w:val="24303A"/>
          <w:sz w:val="22"/>
          <w:szCs w:val="22"/>
        </w:rPr>
        <w:t xml:space="preserve">how the charity is constituted, how trustees are appointed, and how decisions are made.</w:t>
      </w:r>
    </w:p>
    <w:p>
      <w:pPr>
        <w:pStyle w:val="ListParagraph"/>
        <w:numPr>
          <w:ilvl w:val="0"/>
          <w:numId w:val="2"/>
        </w:numPr>
        <w:spacing w:after="80" w:line="276"/>
      </w:pPr>
      <w:r>
        <w:rPr>
          <w:b/>
          <w:bCs/>
          <w:color w:val="24303A"/>
          <w:sz w:val="22"/>
          <w:szCs w:val="22"/>
        </w:rPr>
        <w:t xml:space="preserve">Objectives and activities — </w:t>
      </w:r>
      <w:r>
        <w:rPr>
          <w:color w:val="24303A"/>
          <w:sz w:val="22"/>
          <w:szCs w:val="22"/>
        </w:rPr>
        <w:t xml:space="preserve">what the charity exists to do and what it did this year to further those aims.</w:t>
      </w:r>
    </w:p>
    <w:p>
      <w:pPr>
        <w:pStyle w:val="ListParagraph"/>
        <w:numPr>
          <w:ilvl w:val="0"/>
          <w:numId w:val="2"/>
        </w:numPr>
        <w:spacing w:after="80" w:line="276"/>
      </w:pPr>
      <w:r>
        <w:rPr>
          <w:b/>
          <w:bCs/>
          <w:color w:val="24303A"/>
          <w:sz w:val="22"/>
          <w:szCs w:val="22"/>
        </w:rPr>
        <w:t xml:space="preserve">Achievements and performance — </w:t>
      </w:r>
      <w:r>
        <w:rPr>
          <w:color w:val="24303A"/>
          <w:sz w:val="22"/>
          <w:szCs w:val="22"/>
        </w:rPr>
        <w:t xml:space="preserve">what you actually accomplished, ideally with evidence of the difference you made.</w:t>
      </w:r>
    </w:p>
    <w:p>
      <w:pPr>
        <w:pStyle w:val="ListParagraph"/>
        <w:numPr>
          <w:ilvl w:val="0"/>
          <w:numId w:val="2"/>
        </w:numPr>
        <w:spacing w:after="80" w:line="276"/>
      </w:pPr>
      <w:r>
        <w:rPr>
          <w:b/>
          <w:bCs/>
          <w:color w:val="24303A"/>
          <w:sz w:val="22"/>
          <w:szCs w:val="22"/>
        </w:rPr>
        <w:t xml:space="preserve">Financial review — </w:t>
      </w:r>
      <w:r>
        <w:rPr>
          <w:color w:val="24303A"/>
          <w:sz w:val="22"/>
          <w:szCs w:val="22"/>
        </w:rPr>
        <w:t xml:space="preserve">how the charity did financially, including the level of reserves held and your reserves policy — or a statement that the charity has no reserves policy.</w:t>
      </w:r>
    </w:p>
    <w:p>
      <w:pPr>
        <w:pStyle w:val="ListParagraph"/>
        <w:numPr>
          <w:ilvl w:val="0"/>
          <w:numId w:val="2"/>
        </w:numPr>
        <w:spacing w:after="80" w:line="276"/>
      </w:pPr>
      <w:r>
        <w:rPr>
          <w:b/>
          <w:bCs/>
          <w:color w:val="24303A"/>
          <w:sz w:val="22"/>
          <w:szCs w:val="22"/>
        </w:rPr>
        <w:t xml:space="preserve">Plans for the future — </w:t>
      </w:r>
      <w:r>
        <w:rPr>
          <w:color w:val="24303A"/>
          <w:sz w:val="22"/>
          <w:szCs w:val="22"/>
        </w:rPr>
        <w:t xml:space="preserve">where the charity is heading next.</w:t>
      </w:r>
    </w:p>
    <w:p>
      <w:pPr>
        <w:pStyle w:val="ListParagraph"/>
        <w:numPr>
          <w:ilvl w:val="0"/>
          <w:numId w:val="2"/>
        </w:numPr>
        <w:spacing w:after="80" w:line="276"/>
      </w:pPr>
      <w:r>
        <w:rPr>
          <w:b/>
          <w:bCs/>
          <w:color w:val="24303A"/>
          <w:sz w:val="22"/>
          <w:szCs w:val="22"/>
        </w:rPr>
        <w:t xml:space="preserve">A public benefit statement — </w:t>
      </w:r>
      <w:r>
        <w:rPr>
          <w:color w:val="24303A"/>
          <w:sz w:val="22"/>
          <w:szCs w:val="22"/>
        </w:rPr>
        <w:t xml:space="preserve">confirming the trustees have had regard to the Charity Commission’s guidance on public benefit, and showing how your work delivers it.</w:t>
      </w:r>
    </w:p>
    <w:p>
      <w:pPr>
        <w:spacing w:after="100" w:before="260"/>
        <w:outlineLvl w:val="1"/>
      </w:pPr>
      <w:r>
        <w:rPr>
          <w:b/>
          <w:bCs/>
          <w:color w:val="16324F"/>
          <w:sz w:val="28"/>
          <w:szCs w:val="28"/>
        </w:rPr>
        <w:t xml:space="preserve">The public benefit statement</w:t>
      </w:r>
    </w:p>
    <w:p>
      <w:pPr>
        <w:spacing w:after="160" w:line="276"/>
      </w:pPr>
      <w:r>
        <w:rPr>
          <w:color w:val="24303A"/>
          <w:sz w:val="22"/>
          <w:szCs w:val="22"/>
        </w:rPr>
        <w:t xml:space="preserve">This is not optional. Trustees must confirm they have had regard to the Commission’s public benefit guidance, and the report should show — briefly and concretely — how the charity’s activities provide public benefit. It is a small section, but regulators look for it.</w:t>
      </w:r>
    </w:p>
    <w:p>
      <w:pPr>
        <w:spacing w:after="100" w:before="260"/>
        <w:outlineLvl w:val="1"/>
      </w:pPr>
      <w:r>
        <w:rPr>
          <w:b/>
          <w:bCs/>
          <w:color w:val="16324F"/>
          <w:sz w:val="28"/>
          <w:szCs w:val="28"/>
        </w:rPr>
        <w:t xml:space="preserve">Full reports: the extra disclosures</w:t>
      </w:r>
    </w:p>
    <w:p>
      <w:pPr>
        <w:spacing w:after="160" w:line="276"/>
      </w:pPr>
      <w:r>
        <w:rPr>
          <w:color w:val="24303A"/>
          <w:sz w:val="22"/>
          <w:szCs w:val="22"/>
        </w:rPr>
        <w:t xml:space="preserve">Companies, CIOs and charities that meet the thresholds for a full report must follow the applicable SORP requirements. Depending on the charity’s size, structure and activities, the additional disclosures can include the principal risks it faces and how they are managed, fundraising, trustee and staff remuneration, reserves in more depth, grant-making, and more on its people and volunteers.</w:t>
      </w:r>
    </w:p>
    <w:p>
      <w:pPr>
        <w:spacing w:after="100" w:before="260"/>
        <w:outlineLvl w:val="1"/>
      </w:pPr>
      <w:r>
        <w:rPr>
          <w:b/>
          <w:bCs/>
          <w:color w:val="16324F"/>
          <w:sz w:val="28"/>
          <w:szCs w:val="28"/>
        </w:rPr>
        <w:t xml:space="preserve">Make it more than a compliance exercise</w:t>
      </w:r>
    </w:p>
    <w:p>
      <w:pPr>
        <w:spacing w:after="160" w:line="276"/>
      </w:pPr>
      <w:r>
        <w:rPr>
          <w:color w:val="24303A"/>
          <w:sz w:val="22"/>
          <w:szCs w:val="22"/>
        </w:rPr>
        <w:t xml:space="preserve">The annual report is one of the few documents that a funder, a major donor or a prospective trustee will actually read. Use it. Write in plain English, lead with the impact you had rather than the processes you followed, include a few real stories or figures that bring the year to life, and — where the format allows — a photograph or two. A report that is honest, readable and proud of its achievements does far more for the charity than a dry recital of duties.</w:t>
      </w:r>
    </w:p>
    <w:p>
      <w:pPr>
        <w:spacing w:after="100" w:before="260"/>
        <w:outlineLvl w:val="1"/>
      </w:pPr>
      <w:r>
        <w:rPr>
          <w:b/>
          <w:bCs/>
          <w:color w:val="16324F"/>
          <w:sz w:val="28"/>
          <w:szCs w:val="28"/>
        </w:rPr>
        <w:t xml:space="preserve">Practical points</w:t>
      </w:r>
    </w:p>
    <w:p>
      <w:pPr>
        <w:pStyle w:val="ListParagraph"/>
        <w:numPr>
          <w:ilvl w:val="0"/>
          <w:numId w:val="2"/>
        </w:numPr>
        <w:spacing w:after="80" w:line="276"/>
      </w:pPr>
      <w:r>
        <w:rPr>
          <w:color w:val="24303A"/>
          <w:sz w:val="22"/>
          <w:szCs w:val="22"/>
        </w:rPr>
        <w:t xml:space="preserve">Make sure the report and the accounts tell the same story and use the same figures.</w:t>
      </w:r>
    </w:p>
    <w:p>
      <w:pPr>
        <w:pStyle w:val="ListParagraph"/>
        <w:numPr>
          <w:ilvl w:val="0"/>
          <w:numId w:val="2"/>
        </w:numPr>
        <w:spacing w:after="80" w:line="276"/>
      </w:pPr>
      <w:r>
        <w:rPr>
          <w:color w:val="24303A"/>
          <w:sz w:val="22"/>
          <w:szCs w:val="22"/>
        </w:rPr>
        <w:t xml:space="preserve">Have the board formally approve the report before it is filed.</w:t>
      </w:r>
    </w:p>
    <w:p>
      <w:pPr>
        <w:pStyle w:val="ListParagraph"/>
        <w:numPr>
          <w:ilvl w:val="0"/>
          <w:numId w:val="2"/>
        </w:numPr>
        <w:spacing w:after="80" w:line="276"/>
      </w:pPr>
      <w:r>
        <w:rPr>
          <w:color w:val="24303A"/>
          <w:sz w:val="22"/>
          <w:szCs w:val="22"/>
        </w:rPr>
        <w:t xml:space="preserve">Where filing is required, submit it with your accounts within the deadline, and keep a copy on your record.</w:t>
      </w:r>
    </w:p>
    <w:p>
      <w:pPr>
        <w:pStyle w:val="ListParagraph"/>
        <w:numPr>
          <w:ilvl w:val="0"/>
          <w:numId w:val="2"/>
        </w:numPr>
        <w:spacing w:after="80" w:line="276"/>
      </w:pPr>
      <w:r>
        <w:rPr>
          <w:color w:val="24303A"/>
          <w:sz w:val="22"/>
          <w:szCs w:val="22"/>
        </w:rPr>
        <w:t xml:space="preserve">If you prepare accruals accounts, note that the new Charities SORP 2026 changes what your report and accounts must include for accounting periods beginning on or after 1 January 2026 — see our separate SORP 2026 guide.</w:t>
      </w:r>
    </w:p>
    <w:p>
      <w:pPr>
        <w:pBdr>
          <w:top w:val="single" w:color="E2E7EC" w:sz="4" w:space="10"/>
        </w:pBdr>
        <w:spacing w:before="300" w:line="240"/>
      </w:pPr>
      <w:r>
        <w:rPr>
          <w:i/>
          <w:iCs/>
          <w:color w:val="5A6774"/>
          <w:sz w:val="18"/>
          <w:szCs w:val="18"/>
        </w:rPr>
        <w:t xml:space="preserve">This guide is general information for trustees and committee members, not legal or financial advice, and every charity is different. Rules can change, so always confirm the current position with the relevant regulator or a suitably qualified adviser before acting. Last reviewed July 2026.</w:t>
      </w:r>
    </w:p>
    <w:p>
      <w:pPr>
        <w:spacing w:before="120"/>
      </w:pPr>
      <w:r>
        <w:rPr>
          <w:color w:val="5A6774"/>
          <w:sz w:val="16"/>
          <w:szCs w:val="16"/>
        </w:rPr>
        <w:t xml:space="preserve">The Committee Room · Governance support for UK charity boards &amp; committees · hello@thecommitteeroom.co.uk</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2F7D78"/>
      </w:rPr>
    </w:lvl>
  </w:abstractNum>
  <w:abstractNum w:abstractNumId="3" w15:restartNumberingAfterBreak="0">
    <w:multiLevelType w:val="hybridMultilevel"/>
    <w:lvl w:ilvl="0" w15:tentative="1">
      <w:start w:val="1"/>
      <w:numFmt w:val="decimal"/>
      <w:lvlText w:val="%1."/>
      <w:lvlJc w:val="left"/>
      <w:pPr>
        <w:ind w:left="460" w:hanging="360"/>
      </w:pPr>
      <w:rPr>
        <w:b/>
        <w:bCs/>
        <w:color w:val="1632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Committee Room</dc:creator>
  <cp:lastModifiedBy>Un-named</cp:lastModifiedBy>
  <cp:revision>1</cp:revision>
  <dcterms:created xsi:type="dcterms:W3CDTF">2026-07-22T19:34:24.733Z</dcterms:created>
  <dcterms:modified xsi:type="dcterms:W3CDTF">2026-07-22T19:34:24.733Z</dcterms:modified>
</cp:coreProperties>
</file>

<file path=docProps/custom.xml><?xml version="1.0" encoding="utf-8"?>
<Properties xmlns="http://schemas.openxmlformats.org/officeDocument/2006/custom-properties" xmlns:vt="http://schemas.openxmlformats.org/officeDocument/2006/docPropsVTypes"/>
</file>